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8"/>
        <w:gridCol w:w="4698"/>
      </w:tblGrid>
      <w:tr w:rsidR="00623D1B" w:rsidTr="00623D1B">
        <w:tc>
          <w:tcPr>
            <w:tcW w:w="4698" w:type="dxa"/>
          </w:tcPr>
          <w:p w:rsidR="00623D1B" w:rsidRDefault="00D35432" w:rsidP="00D35432">
            <w:pPr>
              <w:pStyle w:val="NormalWeb"/>
              <w:jc w:val="center"/>
              <w:rPr>
                <w:rStyle w:val="Strong"/>
                <w:rFonts w:eastAsiaTheme="majorEastAsia"/>
              </w:rPr>
            </w:pPr>
            <w:r>
              <w:rPr>
                <w:rStyle w:val="Strong"/>
                <w:rFonts w:eastAsiaTheme="majorEastAsia"/>
              </w:rPr>
              <w:t>INVITATION</w:t>
            </w:r>
          </w:p>
        </w:tc>
        <w:tc>
          <w:tcPr>
            <w:tcW w:w="4698" w:type="dxa"/>
          </w:tcPr>
          <w:p w:rsidR="00623D1B" w:rsidRPr="00623D1B" w:rsidRDefault="00623D1B" w:rsidP="00623D1B">
            <w:pPr>
              <w:pStyle w:val="NormalWeb"/>
              <w:jc w:val="center"/>
              <w:rPr>
                <w:rStyle w:val="Strong"/>
                <w:rFonts w:eastAsiaTheme="majorEastAsia"/>
                <w:lang w:val="bg-BG"/>
              </w:rPr>
            </w:pPr>
            <w:r>
              <w:rPr>
                <w:rStyle w:val="Strong"/>
                <w:rFonts w:eastAsiaTheme="majorEastAsia"/>
                <w:lang w:val="bg-BG"/>
              </w:rPr>
              <w:t>ПОКАНА</w:t>
            </w:r>
          </w:p>
        </w:tc>
      </w:tr>
      <w:tr w:rsidR="00623D1B" w:rsidTr="00623D1B">
        <w:tc>
          <w:tcPr>
            <w:tcW w:w="4698" w:type="dxa"/>
          </w:tcPr>
          <w:p w:rsidR="00623D1B" w:rsidRDefault="00D35432" w:rsidP="00D35432">
            <w:pPr>
              <w:pStyle w:val="NormalWeb"/>
              <w:ind w:firstLine="447"/>
              <w:rPr>
                <w:rStyle w:val="Strong"/>
                <w:rFonts w:eastAsiaTheme="majorEastAsia"/>
                <w:b w:val="0"/>
              </w:rPr>
            </w:pPr>
            <w:r>
              <w:rPr>
                <w:rStyle w:val="Strong"/>
                <w:rFonts w:eastAsiaTheme="majorEastAsia"/>
              </w:rPr>
              <w:t xml:space="preserve"> </w:t>
            </w:r>
            <w:r w:rsidRPr="008903C4">
              <w:rPr>
                <w:rStyle w:val="Strong"/>
                <w:rFonts w:eastAsiaTheme="majorEastAsia"/>
                <w:b w:val="0"/>
              </w:rPr>
              <w:t xml:space="preserve">Dear </w:t>
            </w:r>
            <w:r w:rsidR="008903C4" w:rsidRPr="008903C4">
              <w:rPr>
                <w:rStyle w:val="Strong"/>
                <w:rFonts w:eastAsiaTheme="majorEastAsia"/>
                <w:b w:val="0"/>
              </w:rPr>
              <w:t>Sir / Madam</w:t>
            </w:r>
            <w:r w:rsidR="008903C4">
              <w:rPr>
                <w:rStyle w:val="Strong"/>
                <w:rFonts w:eastAsiaTheme="majorEastAsia"/>
                <w:b w:val="0"/>
              </w:rPr>
              <w:t>,</w:t>
            </w:r>
          </w:p>
          <w:p w:rsidR="008903C4" w:rsidRPr="008903C4" w:rsidRDefault="008903C4" w:rsidP="00F93A57">
            <w:pPr>
              <w:pStyle w:val="NormalWeb"/>
              <w:jc w:val="both"/>
              <w:rPr>
                <w:rStyle w:val="Strong"/>
                <w:rFonts w:eastAsiaTheme="majorEastAsia"/>
                <w:b w:val="0"/>
              </w:rPr>
            </w:pPr>
            <w:r>
              <w:t xml:space="preserve">On behalf of the </w:t>
            </w:r>
            <w:r w:rsidRPr="00F93A57">
              <w:rPr>
                <w:rStyle w:val="Strong"/>
                <w:rFonts w:eastAsiaTheme="majorEastAsia"/>
              </w:rPr>
              <w:t>Bulgarian Ship Hydrodynamics Centre (BSHC) in Varna at Institute of Metal Science, Equipment and Technologies "acad. Angel Balevski"</w:t>
            </w:r>
            <w:r>
              <w:rPr>
                <w:rStyle w:val="Strong"/>
                <w:rFonts w:eastAsiaTheme="majorEastAsia"/>
              </w:rPr>
              <w:t xml:space="preserve">(IMSET) </w:t>
            </w:r>
            <w:r>
              <w:t>in Varna, Bulgaria, I am pleased to invite your company to submit a</w:t>
            </w:r>
            <w:r>
              <w:rPr>
                <w:lang w:val="bg-BG"/>
              </w:rPr>
              <w:t xml:space="preserve"> </w:t>
            </w:r>
            <w:r w:rsidRPr="00F93A57">
              <w:rPr>
                <w:b/>
                <w:lang w:val="en-GB"/>
              </w:rPr>
              <w:t>preliminary indicative</w:t>
            </w:r>
            <w:r>
              <w:t xml:space="preserve"> </w:t>
            </w:r>
            <w:r>
              <w:rPr>
                <w:rStyle w:val="Strong"/>
                <w:rFonts w:eastAsiaTheme="majorEastAsia"/>
              </w:rPr>
              <w:t xml:space="preserve">technical and </w:t>
            </w:r>
            <w:r w:rsidRPr="00F93A57">
              <w:rPr>
                <w:rStyle w:val="Strong"/>
                <w:rFonts w:eastAsiaTheme="majorEastAsia"/>
              </w:rPr>
              <w:t>price</w:t>
            </w:r>
            <w:r>
              <w:rPr>
                <w:rStyle w:val="Strong"/>
                <w:rFonts w:eastAsiaTheme="majorEastAsia"/>
              </w:rPr>
              <w:t xml:space="preserve"> proposal</w:t>
            </w:r>
            <w:r>
              <w:t xml:space="preserve"> for </w:t>
            </w:r>
            <w:r>
              <w:rPr>
                <w:rStyle w:val="Strong"/>
                <w:rFonts w:eastAsiaTheme="majorEastAsia"/>
              </w:rPr>
              <w:t xml:space="preserve">Design, </w:t>
            </w:r>
            <w:r w:rsidRPr="00F93A57">
              <w:rPr>
                <w:rStyle w:val="Strong"/>
                <w:rFonts w:eastAsiaTheme="majorEastAsia"/>
              </w:rPr>
              <w:t>construction</w:t>
            </w:r>
            <w:r>
              <w:rPr>
                <w:rStyle w:val="Strong"/>
                <w:rFonts w:eastAsiaTheme="majorEastAsia"/>
              </w:rPr>
              <w:t xml:space="preserve"> and commissioning of an open-circuit wind tunnel</w:t>
            </w:r>
            <w:r>
              <w:t>.</w:t>
            </w:r>
          </w:p>
        </w:tc>
        <w:tc>
          <w:tcPr>
            <w:tcW w:w="4698" w:type="dxa"/>
          </w:tcPr>
          <w:p w:rsidR="00623D1B" w:rsidRDefault="00623D1B" w:rsidP="00623D1B">
            <w:pPr>
              <w:pStyle w:val="NormalWeb"/>
              <w:ind w:firstLine="715"/>
              <w:rPr>
                <w:rStyle w:val="Strong"/>
                <w:rFonts w:eastAsiaTheme="majorEastAsia"/>
                <w:b w:val="0"/>
                <w:lang w:val="bg-BG"/>
              </w:rPr>
            </w:pPr>
            <w:r w:rsidRPr="00623D1B">
              <w:rPr>
                <w:rStyle w:val="Strong"/>
                <w:rFonts w:eastAsiaTheme="majorEastAsia"/>
                <w:b w:val="0"/>
                <w:lang w:val="bg-BG"/>
              </w:rPr>
              <w:t>У</w:t>
            </w:r>
            <w:r>
              <w:rPr>
                <w:rStyle w:val="Strong"/>
                <w:rFonts w:eastAsiaTheme="majorEastAsia"/>
                <w:b w:val="0"/>
                <w:lang w:val="bg-BG"/>
              </w:rPr>
              <w:t>важаеми Дами и Господа,</w:t>
            </w:r>
          </w:p>
          <w:p w:rsidR="00623D1B" w:rsidRPr="001F06FD" w:rsidRDefault="00623D1B" w:rsidP="00F93A57">
            <w:pPr>
              <w:pStyle w:val="NormalWeb"/>
              <w:jc w:val="both"/>
              <w:rPr>
                <w:rStyle w:val="Strong"/>
                <w:rFonts w:eastAsiaTheme="majorEastAsia"/>
                <w:b w:val="0"/>
                <w:lang w:val="bg-BG"/>
              </w:rPr>
            </w:pPr>
            <w:r>
              <w:rPr>
                <w:rStyle w:val="Strong"/>
                <w:rFonts w:eastAsiaTheme="majorEastAsia"/>
                <w:b w:val="0"/>
                <w:lang w:val="bg-BG"/>
              </w:rPr>
              <w:t>От имет</w:t>
            </w:r>
            <w:r w:rsidR="001F06FD">
              <w:rPr>
                <w:rStyle w:val="Strong"/>
                <w:rFonts w:eastAsiaTheme="majorEastAsia"/>
                <w:b w:val="0"/>
                <w:lang w:val="bg-BG"/>
              </w:rPr>
              <w:t xml:space="preserve">о на </w:t>
            </w:r>
            <w:r w:rsidR="001F06FD" w:rsidRPr="00F97BE1">
              <w:rPr>
                <w:rStyle w:val="Strong"/>
                <w:rFonts w:eastAsiaTheme="majorEastAsia"/>
                <w:lang w:val="bg-BG"/>
              </w:rPr>
              <w:t xml:space="preserve">Център по </w:t>
            </w:r>
            <w:proofErr w:type="spellStart"/>
            <w:r w:rsidR="001F06FD" w:rsidRPr="00F97BE1">
              <w:rPr>
                <w:rStyle w:val="Strong"/>
                <w:rFonts w:eastAsiaTheme="majorEastAsia"/>
                <w:lang w:val="bg-BG"/>
              </w:rPr>
              <w:t>хидро</w:t>
            </w:r>
            <w:proofErr w:type="spellEnd"/>
            <w:r w:rsidR="001F06FD" w:rsidRPr="00F97BE1">
              <w:rPr>
                <w:rStyle w:val="Strong"/>
                <w:rFonts w:eastAsiaTheme="majorEastAsia"/>
                <w:lang w:val="bg-BG"/>
              </w:rPr>
              <w:t>- и аеродинамика – Варна (ЦХА) към Институт по металознание „акад. Ангел Балевски“ (ИМСТ)</w:t>
            </w:r>
            <w:r w:rsidR="001F06FD">
              <w:rPr>
                <w:rStyle w:val="Strong"/>
                <w:rFonts w:eastAsiaTheme="majorEastAsia"/>
                <w:b w:val="0"/>
                <w:lang w:val="bg-BG"/>
              </w:rPr>
              <w:t xml:space="preserve"> Ви каня да подадете предварителни индикативни</w:t>
            </w:r>
            <w:r w:rsidR="001F06FD">
              <w:rPr>
                <w:rStyle w:val="Strong"/>
                <w:rFonts w:eastAsiaTheme="majorEastAsia"/>
                <w:b w:val="0"/>
              </w:rPr>
              <w:t xml:space="preserve"> </w:t>
            </w:r>
            <w:r w:rsidR="001F06FD">
              <w:rPr>
                <w:rStyle w:val="Strong"/>
                <w:rFonts w:eastAsiaTheme="majorEastAsia"/>
                <w:b w:val="0"/>
                <w:lang w:val="bg-BG"/>
              </w:rPr>
              <w:t xml:space="preserve">техническо и ценово предложения за </w:t>
            </w:r>
            <w:r w:rsidR="001F06FD" w:rsidRPr="00F97BE1">
              <w:rPr>
                <w:rStyle w:val="Strong"/>
                <w:rFonts w:eastAsiaTheme="majorEastAsia"/>
                <w:lang w:val="bg-BG"/>
              </w:rPr>
              <w:t xml:space="preserve">проектиране, изграждане и пускане в експлоатация на </w:t>
            </w:r>
            <w:r w:rsidR="00F97BE1" w:rsidRPr="00F97BE1">
              <w:rPr>
                <w:rStyle w:val="Strong"/>
                <w:rFonts w:eastAsiaTheme="majorEastAsia"/>
                <w:lang w:val="bg-BG"/>
              </w:rPr>
              <w:t>а</w:t>
            </w:r>
            <w:r w:rsidR="001F06FD" w:rsidRPr="00F97BE1">
              <w:rPr>
                <w:rStyle w:val="Strong"/>
                <w:rFonts w:eastAsiaTheme="majorEastAsia"/>
                <w:lang w:val="bg-BG"/>
              </w:rPr>
              <w:t>еродинамичен тунел с отворен контур</w:t>
            </w:r>
            <w:r w:rsidR="00F97BE1">
              <w:rPr>
                <w:rStyle w:val="Strong"/>
                <w:rFonts w:eastAsiaTheme="majorEastAsia"/>
                <w:b w:val="0"/>
                <w:lang w:val="bg-BG"/>
              </w:rPr>
              <w:t>.</w:t>
            </w:r>
          </w:p>
        </w:tc>
      </w:tr>
      <w:tr w:rsidR="00623D1B" w:rsidTr="00623D1B">
        <w:tc>
          <w:tcPr>
            <w:tcW w:w="4698" w:type="dxa"/>
          </w:tcPr>
          <w:p w:rsidR="00F97BE1" w:rsidRDefault="00F97BE1" w:rsidP="001E0603">
            <w:pPr>
              <w:pStyle w:val="NormalWeb"/>
              <w:jc w:val="both"/>
            </w:pPr>
            <w:r>
              <w:t xml:space="preserve">BSHC is planning to conduct and award a public procurement procedure with the aforementioned subject and in connection with Art. 21, para 2 of Public Procurement Act in order to </w:t>
            </w:r>
            <w:r w:rsidRPr="00352C4B">
              <w:t>calculate the estimated value</w:t>
            </w:r>
            <w:r>
              <w:t xml:space="preserve"> of the future public procurement. With reference to Art. 44 of PPA BSHC is carrying out the present market consultations.</w:t>
            </w:r>
          </w:p>
          <w:p w:rsidR="00623D1B" w:rsidRDefault="00F97BE1" w:rsidP="001E0603">
            <w:pPr>
              <w:pStyle w:val="NormalWeb"/>
              <w:jc w:val="both"/>
              <w:rPr>
                <w:rStyle w:val="Strong"/>
                <w:rFonts w:eastAsiaTheme="majorEastAsia"/>
              </w:rPr>
            </w:pPr>
            <w:r w:rsidRPr="00623D1B">
              <w:t>The proposals received as a result of the market consultation will be published in the "buyer profile" of the Contracting Authority. The current market consultation is carried out with the aim of ensuring publicity and transparency of the process of forming the estimated value of the future public procurement.</w:t>
            </w:r>
          </w:p>
        </w:tc>
        <w:tc>
          <w:tcPr>
            <w:tcW w:w="4698" w:type="dxa"/>
          </w:tcPr>
          <w:p w:rsidR="00F97BE1" w:rsidRPr="00F97BE1" w:rsidRDefault="00F97BE1" w:rsidP="00F93A57">
            <w:pPr>
              <w:pStyle w:val="NormalWeb"/>
              <w:spacing w:before="60" w:beforeAutospacing="0" w:after="0" w:afterAutospacing="0"/>
              <w:jc w:val="both"/>
              <w:rPr>
                <w:rStyle w:val="Strong"/>
                <w:rFonts w:eastAsiaTheme="majorEastAsia"/>
                <w:b w:val="0"/>
                <w:lang w:val="bg-BG"/>
              </w:rPr>
            </w:pPr>
            <w:r>
              <w:rPr>
                <w:rStyle w:val="Strong"/>
                <w:rFonts w:eastAsiaTheme="majorEastAsia"/>
                <w:b w:val="0"/>
                <w:lang w:val="bg-BG"/>
              </w:rPr>
              <w:t>ЦХА</w:t>
            </w:r>
            <w:r w:rsidRPr="00F97BE1">
              <w:rPr>
                <w:rStyle w:val="Strong"/>
                <w:rFonts w:eastAsiaTheme="majorEastAsia"/>
                <w:b w:val="0"/>
                <w:lang w:val="bg-BG"/>
              </w:rPr>
              <w:t xml:space="preserve"> планира да проведе и възложи процедура за обществена поръчка с горепосочения предмет и във връзка с чл. 21, ал. 2 от Закона за обществените поръчки, за да изчисли прогнозната стойност на бъдещата обществена поръчка. Във връзка с чл. 44 от ЗОП, </w:t>
            </w:r>
            <w:r>
              <w:rPr>
                <w:rStyle w:val="Strong"/>
                <w:rFonts w:eastAsiaTheme="majorEastAsia"/>
                <w:b w:val="0"/>
                <w:lang w:val="bg-BG"/>
              </w:rPr>
              <w:t>ЦХА осъществява</w:t>
            </w:r>
            <w:r w:rsidRPr="00F97BE1">
              <w:rPr>
                <w:rStyle w:val="Strong"/>
                <w:rFonts w:eastAsiaTheme="majorEastAsia"/>
                <w:b w:val="0"/>
                <w:lang w:val="bg-BG"/>
              </w:rPr>
              <w:t xml:space="preserve"> настоящите пазарни консултации.</w:t>
            </w:r>
          </w:p>
          <w:p w:rsidR="00623D1B" w:rsidRPr="00623D1B" w:rsidRDefault="00F97BE1" w:rsidP="00F93A57">
            <w:pPr>
              <w:pStyle w:val="NormalWeb"/>
              <w:spacing w:before="60" w:beforeAutospacing="0" w:after="0" w:afterAutospacing="0"/>
              <w:jc w:val="both"/>
              <w:rPr>
                <w:rStyle w:val="Strong"/>
                <w:rFonts w:eastAsiaTheme="majorEastAsia"/>
                <w:b w:val="0"/>
              </w:rPr>
            </w:pPr>
            <w:r w:rsidRPr="00F97BE1">
              <w:rPr>
                <w:rStyle w:val="Strong"/>
                <w:rFonts w:eastAsiaTheme="majorEastAsia"/>
                <w:b w:val="0"/>
                <w:lang w:val="bg-BG"/>
              </w:rPr>
              <w:t>Получените в резултат на пазарната консултация предложения ще бъдат публикувани в „профила на купувача“ на Възложителя. Настоящата пазарна консултация се провежда с цел осигуряване на публичност и прозрачност на процеса на формиране на прогнозната стойност на бъдещата обществена поръчка</w:t>
            </w:r>
            <w:r w:rsidRPr="00F97BE1">
              <w:rPr>
                <w:rStyle w:val="Strong"/>
                <w:rFonts w:eastAsiaTheme="majorEastAsia"/>
                <w:b w:val="0"/>
              </w:rPr>
              <w:t>.</w:t>
            </w:r>
          </w:p>
        </w:tc>
      </w:tr>
      <w:tr w:rsidR="00852D24"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1. Basic Construction Requirements</w:t>
            </w:r>
          </w:p>
          <w:p w:rsidR="00160E44" w:rsidRPr="00160E44" w:rsidRDefault="00160E44" w:rsidP="00160E44">
            <w:pPr>
              <w:pStyle w:val="NormalWeb"/>
              <w:spacing w:before="0" w:beforeAutospacing="0" w:after="0" w:afterAutospacing="0"/>
              <w:jc w:val="both"/>
              <w:rPr>
                <w:b/>
                <w:bCs/>
              </w:rPr>
            </w:pPr>
            <w:r w:rsidRPr="00160E44">
              <w:rPr>
                <w:b/>
                <w:bCs/>
              </w:rPr>
              <w:t>1.1. Overall dimensions</w:t>
            </w:r>
          </w:p>
          <w:p w:rsidR="00160E44" w:rsidRDefault="00160E44" w:rsidP="00160E44">
            <w:pPr>
              <w:pStyle w:val="NormalWeb"/>
              <w:spacing w:before="0" w:beforeAutospacing="0" w:after="0" w:afterAutospacing="0"/>
              <w:jc w:val="both"/>
            </w:pPr>
            <w:r>
              <w:t>Maximum dimensions: length 22.0 m, width 4.5 m, height 3.0 m.</w:t>
            </w:r>
          </w:p>
          <w:p w:rsidR="00160E44" w:rsidRDefault="00160E44" w:rsidP="00160E44">
            <w:pPr>
              <w:pStyle w:val="NormalWeb"/>
              <w:spacing w:before="0" w:beforeAutospacing="0" w:after="0" w:afterAutospacing="0"/>
              <w:jc w:val="both"/>
            </w:pPr>
            <w:r>
              <w:t>The installation hall has dimensions: length 30 m, width 18 m, height 5 m.</w:t>
            </w:r>
          </w:p>
          <w:p w:rsidR="00160E44" w:rsidRDefault="00160E44" w:rsidP="00160E44">
            <w:pPr>
              <w:pStyle w:val="NormalWeb"/>
              <w:spacing w:before="0" w:beforeAutospacing="0" w:after="0" w:afterAutospacing="0"/>
              <w:jc w:val="both"/>
            </w:pPr>
            <w:r>
              <w:t>The door opening is 2.38 × 2.6 m.</w:t>
            </w:r>
          </w:p>
          <w:p w:rsidR="00160E44" w:rsidRDefault="00160E44" w:rsidP="00160E44">
            <w:pPr>
              <w:pStyle w:val="NormalWeb"/>
              <w:spacing w:before="0" w:beforeAutospacing="0" w:after="0" w:afterAutospacing="0"/>
              <w:jc w:val="both"/>
            </w:pPr>
            <w:r>
              <w:t>The hall is equipped with an overhead crane of 3.2 t with a maximum hook height of 3.1 m.</w:t>
            </w:r>
          </w:p>
          <w:p w:rsidR="00160E44" w:rsidRDefault="00160E44" w:rsidP="00160E44">
            <w:pPr>
              <w:pStyle w:val="NormalWeb"/>
              <w:spacing w:before="0" w:beforeAutospacing="0" w:after="0" w:afterAutospacing="0"/>
              <w:jc w:val="both"/>
            </w:pPr>
            <w:r>
              <w:t>Drawings and photographs of the existing equipment are attached.</w:t>
            </w:r>
          </w:p>
          <w:p w:rsidR="00160E44" w:rsidRDefault="00160E44" w:rsidP="00160E44">
            <w:pPr>
              <w:pStyle w:val="NormalWeb"/>
              <w:spacing w:before="0" w:beforeAutospacing="0" w:after="0" w:afterAutospacing="0"/>
              <w:jc w:val="both"/>
            </w:pPr>
          </w:p>
          <w:p w:rsidR="00160E44" w:rsidRDefault="00160E44" w:rsidP="00160E44">
            <w:pPr>
              <w:pStyle w:val="NormalWeb"/>
              <w:spacing w:before="0" w:beforeAutospacing="0" w:after="0" w:afterAutospacing="0"/>
              <w:jc w:val="both"/>
            </w:pPr>
            <w:r>
              <w:t>At the design stage, the Contractor shall determine the locations of the supports and the load distribution on the floor, and shall provide this information to the Contracting Authority.</w:t>
            </w:r>
          </w:p>
          <w:p w:rsidR="00160E44" w:rsidRDefault="00160E44" w:rsidP="00160E44">
            <w:pPr>
              <w:pStyle w:val="NormalWeb"/>
              <w:spacing w:before="0" w:beforeAutospacing="0" w:after="0" w:afterAutospacing="0"/>
              <w:jc w:val="both"/>
            </w:pPr>
            <w:r>
              <w:t>The Contractor shall provide detailed instructions for the required civil and installation works related to preparation of the foundation, work area, surrounding walls, and any additional requirements related to safe operation.</w:t>
            </w:r>
          </w:p>
          <w:p w:rsidR="00160E44" w:rsidRPr="00160E44" w:rsidRDefault="00160E44" w:rsidP="00160E44">
            <w:pPr>
              <w:pStyle w:val="NormalWeb"/>
              <w:spacing w:before="0" w:beforeAutospacing="0" w:after="0" w:afterAutospacing="0"/>
              <w:jc w:val="both"/>
              <w:rPr>
                <w:b/>
                <w:bCs/>
              </w:rPr>
            </w:pPr>
            <w:r w:rsidRPr="00160E44">
              <w:rPr>
                <w:b/>
                <w:bCs/>
              </w:rPr>
              <w:t>1.2. Sections of the wind tunnel</w:t>
            </w:r>
          </w:p>
          <w:p w:rsidR="00160E44" w:rsidRDefault="00160E44" w:rsidP="00160E44">
            <w:pPr>
              <w:pStyle w:val="NormalWeb"/>
              <w:spacing w:before="0" w:beforeAutospacing="0" w:after="0" w:afterAutospacing="0"/>
              <w:jc w:val="both"/>
            </w:pPr>
            <w:r>
              <w:t>The tunnel shall include:</w:t>
            </w:r>
          </w:p>
          <w:p w:rsidR="00160E44" w:rsidRDefault="00160E44" w:rsidP="00160E44">
            <w:pPr>
              <w:pStyle w:val="NormalWeb"/>
              <w:spacing w:before="0" w:beforeAutospacing="0" w:after="0" w:afterAutospacing="0"/>
              <w:jc w:val="both"/>
            </w:pPr>
            <w:r>
              <w:t xml:space="preserve">1.2.1. Flow conditioning section, with elements that can be </w:t>
            </w:r>
            <w:r w:rsidRPr="00160E44">
              <w:rPr>
                <w:b/>
                <w:bCs/>
              </w:rPr>
              <w:t>easily removed</w:t>
            </w:r>
            <w:r>
              <w:t xml:space="preserve"> for cleaning and inspection.</w:t>
            </w:r>
          </w:p>
          <w:p w:rsidR="00160E44" w:rsidRDefault="00160E44" w:rsidP="00160E44">
            <w:pPr>
              <w:pStyle w:val="NormalWeb"/>
              <w:spacing w:before="0" w:beforeAutospacing="0" w:after="0" w:afterAutospacing="0"/>
              <w:jc w:val="both"/>
            </w:pPr>
            <w:r>
              <w:t>1.2.2. Contraction cone (contraction).</w:t>
            </w:r>
          </w:p>
          <w:p w:rsidR="00160E44" w:rsidRDefault="00160E44" w:rsidP="00160E44">
            <w:pPr>
              <w:pStyle w:val="NormalWeb"/>
              <w:spacing w:before="0" w:beforeAutospacing="0" w:after="0" w:afterAutospacing="0"/>
              <w:jc w:val="both"/>
            </w:pPr>
            <w:r>
              <w:t>1.2.3. Ground boundary layer section, length 6–8 m.</w:t>
            </w:r>
          </w:p>
          <w:p w:rsidR="00160E44" w:rsidRDefault="00160E44" w:rsidP="00160E44">
            <w:pPr>
              <w:pStyle w:val="NormalWeb"/>
              <w:spacing w:before="0" w:beforeAutospacing="0" w:after="0" w:afterAutospacing="0"/>
              <w:jc w:val="both"/>
            </w:pPr>
            <w:r>
              <w:t>A flow velocity probe shall be installed at the beginning of this section.</w:t>
            </w:r>
          </w:p>
          <w:p w:rsidR="00160E44" w:rsidRDefault="00160E44" w:rsidP="00160E44">
            <w:pPr>
              <w:pStyle w:val="NormalWeb"/>
              <w:spacing w:before="0" w:beforeAutospacing="0" w:after="0" w:afterAutospacing="0"/>
              <w:jc w:val="both"/>
            </w:pPr>
            <w:r>
              <w:t>Optional: LED lighting ≥ 500 lux, without influencing the airflow.</w:t>
            </w:r>
          </w:p>
          <w:p w:rsidR="00160E44" w:rsidRDefault="00160E44" w:rsidP="00160E44">
            <w:pPr>
              <w:pStyle w:val="NormalWeb"/>
              <w:spacing w:before="0" w:beforeAutospacing="0" w:after="0" w:afterAutospacing="0"/>
              <w:jc w:val="both"/>
            </w:pPr>
            <w:r>
              <w:t>1.2.4. Closed test section (approx. 2.0 × 1.8 × 1.2 m), with transparent side panels, non-fogging, suitable for photo and video recording. The panels shall be openable and removable, with repeatable mounting accuracy. The ceiling of the test section shall be equipped with three removable access hatches providing easy access, transport, and installation of models.</w:t>
            </w:r>
          </w:p>
          <w:p w:rsidR="00160E44" w:rsidRDefault="00160E44" w:rsidP="00160E44">
            <w:pPr>
              <w:pStyle w:val="NormalWeb"/>
              <w:spacing w:before="0" w:beforeAutospacing="0" w:after="0" w:afterAutospacing="0"/>
              <w:jc w:val="both"/>
            </w:pPr>
            <w:r>
              <w:t>The hatches shall rest only on the edges of the test section.</w:t>
            </w:r>
          </w:p>
          <w:p w:rsidR="00160E44" w:rsidRDefault="00160E44" w:rsidP="00160E44">
            <w:pPr>
              <w:pStyle w:val="NormalWeb"/>
              <w:spacing w:before="0" w:beforeAutospacing="0" w:after="0" w:afterAutospacing="0"/>
              <w:jc w:val="both"/>
            </w:pPr>
            <w:r>
              <w:t>When the hatches are open, no additional structures or beams shall obstruct the opening between the walls.</w:t>
            </w:r>
          </w:p>
          <w:p w:rsidR="00160E44" w:rsidRDefault="00160E44" w:rsidP="00160E44">
            <w:pPr>
              <w:pStyle w:val="NormalWeb"/>
              <w:spacing w:before="0" w:beforeAutospacing="0" w:after="0" w:afterAutospacing="0"/>
              <w:jc w:val="both"/>
            </w:pPr>
            <w:r>
              <w:t>A turntable shall be integrated, with electric drive and automatic control, providing:</w:t>
            </w:r>
          </w:p>
          <w:p w:rsidR="00160E44" w:rsidRDefault="00160E44" w:rsidP="00160E44">
            <w:pPr>
              <w:pStyle w:val="NormalWeb"/>
              <w:numPr>
                <w:ilvl w:val="0"/>
                <w:numId w:val="11"/>
              </w:numPr>
              <w:spacing w:before="0" w:beforeAutospacing="0" w:after="0" w:afterAutospacing="0"/>
              <w:jc w:val="both"/>
            </w:pPr>
            <w:r>
              <w:t>rotation ±180° with 0.1° step; positioning accuracy – 1′</w:t>
            </w:r>
          </w:p>
          <w:p w:rsidR="00160E44" w:rsidRDefault="00160E44" w:rsidP="00160E44">
            <w:pPr>
              <w:pStyle w:val="NormalWeb"/>
              <w:numPr>
                <w:ilvl w:val="0"/>
                <w:numId w:val="11"/>
              </w:numPr>
              <w:spacing w:before="0" w:beforeAutospacing="0" w:after="0" w:afterAutospacing="0"/>
              <w:jc w:val="both"/>
            </w:pPr>
            <w:r>
              <w:t>central routing of cables</w:t>
            </w:r>
          </w:p>
          <w:p w:rsidR="00160E44" w:rsidRDefault="00160E44" w:rsidP="00160E44">
            <w:pPr>
              <w:pStyle w:val="NormalWeb"/>
              <w:numPr>
                <w:ilvl w:val="0"/>
                <w:numId w:val="11"/>
              </w:numPr>
              <w:spacing w:before="0" w:beforeAutospacing="0" w:after="0" w:afterAutospacing="0"/>
              <w:jc w:val="both"/>
            </w:pPr>
            <w:r>
              <w:t>possibility to integrate a 6-component balance with height 300 mm</w:t>
            </w:r>
          </w:p>
          <w:p w:rsidR="00160E44" w:rsidRDefault="00160E44" w:rsidP="00160E44">
            <w:pPr>
              <w:pStyle w:val="NormalWeb"/>
              <w:numPr>
                <w:ilvl w:val="0"/>
                <w:numId w:val="11"/>
              </w:numPr>
              <w:spacing w:before="0" w:beforeAutospacing="0" w:after="0" w:afterAutospacing="0"/>
              <w:jc w:val="both"/>
            </w:pPr>
            <w:r>
              <w:t>height adjustment</w:t>
            </w:r>
          </w:p>
          <w:p w:rsidR="00160E44" w:rsidRDefault="00160E44" w:rsidP="00160E44">
            <w:pPr>
              <w:pStyle w:val="NormalWeb"/>
              <w:numPr>
                <w:ilvl w:val="0"/>
                <w:numId w:val="11"/>
              </w:numPr>
              <w:spacing w:before="0" w:beforeAutospacing="0" w:after="0" w:afterAutospacing="0"/>
              <w:jc w:val="both"/>
            </w:pPr>
            <w:r>
              <w:t>platform flatness ≤0.5 mm; deformation ≤0.2 mm under 300 N load</w:t>
            </w:r>
          </w:p>
          <w:p w:rsidR="00160E44" w:rsidRDefault="00160E44" w:rsidP="00160E44">
            <w:pPr>
              <w:pStyle w:val="NormalWeb"/>
              <w:numPr>
                <w:ilvl w:val="0"/>
                <w:numId w:val="11"/>
              </w:numPr>
              <w:spacing w:before="0" w:beforeAutospacing="0" w:after="0" w:afterAutospacing="0"/>
              <w:jc w:val="both"/>
            </w:pPr>
            <w:r>
              <w:t>replaceable upper plate</w:t>
            </w:r>
          </w:p>
          <w:p w:rsidR="00160E44" w:rsidRDefault="00160E44" w:rsidP="00160E44">
            <w:pPr>
              <w:pStyle w:val="NormalWeb"/>
              <w:spacing w:before="0" w:beforeAutospacing="0" w:after="0" w:afterAutospacing="0"/>
              <w:jc w:val="both"/>
            </w:pPr>
            <w:r>
              <w:t>1.2.5. Diffuser.</w:t>
            </w:r>
          </w:p>
          <w:p w:rsidR="00160E44" w:rsidRDefault="00160E44" w:rsidP="00160E44">
            <w:pPr>
              <w:pStyle w:val="NormalWeb"/>
              <w:spacing w:before="0" w:beforeAutospacing="0" w:after="0" w:afterAutospacing="0"/>
              <w:jc w:val="both"/>
            </w:pPr>
            <w:r>
              <w:t xml:space="preserve">1.2.6. Drive section – fan(s), dynamically balanced according to ISO 14694 or ISO 1940-1, with low noise level ≤ 88 </w:t>
            </w:r>
            <w:proofErr w:type="spellStart"/>
            <w:r>
              <w:t>dB.</w:t>
            </w:r>
            <w:proofErr w:type="spellEnd"/>
          </w:p>
          <w:p w:rsidR="00160E44" w:rsidRPr="00160E44" w:rsidRDefault="00160E44" w:rsidP="00160E44">
            <w:pPr>
              <w:pStyle w:val="NormalWeb"/>
              <w:spacing w:before="0" w:beforeAutospacing="0" w:after="0" w:afterAutospacing="0"/>
              <w:jc w:val="both"/>
              <w:rPr>
                <w:b/>
                <w:bCs/>
              </w:rPr>
            </w:pPr>
            <w:r w:rsidRPr="00160E44">
              <w:rPr>
                <w:b/>
                <w:bCs/>
              </w:rPr>
              <w:t>1.3. Height adjustment</w:t>
            </w:r>
          </w:p>
          <w:p w:rsidR="00160E44" w:rsidRDefault="00160E44" w:rsidP="00160E44">
            <w:pPr>
              <w:pStyle w:val="NormalWeb"/>
              <w:spacing w:before="0" w:beforeAutospacing="0" w:after="0" w:afterAutospacing="0"/>
              <w:jc w:val="both"/>
            </w:pPr>
            <w:r>
              <w:t>Each section shall allow adjustment for alignment and leveling.</w:t>
            </w:r>
          </w:p>
          <w:p w:rsidR="00160E44" w:rsidRPr="00160E44" w:rsidRDefault="00160E44" w:rsidP="00160E44">
            <w:pPr>
              <w:pStyle w:val="NormalWeb"/>
              <w:spacing w:before="0" w:beforeAutospacing="0" w:after="0" w:afterAutospacing="0"/>
              <w:jc w:val="both"/>
              <w:rPr>
                <w:b/>
                <w:bCs/>
              </w:rPr>
            </w:pPr>
            <w:r w:rsidRPr="00160E44">
              <w:rPr>
                <w:b/>
                <w:bCs/>
              </w:rPr>
              <w:t>1.4. Vibration isolation</w:t>
            </w:r>
          </w:p>
          <w:p w:rsidR="00160E44" w:rsidRDefault="00160E44" w:rsidP="00160E44">
            <w:pPr>
              <w:pStyle w:val="NormalWeb"/>
              <w:spacing w:before="0" w:beforeAutospacing="0" w:after="0" w:afterAutospacing="0"/>
              <w:jc w:val="both"/>
            </w:pPr>
            <w:r>
              <w:t>All sections shall be mounted on dampers.</w:t>
            </w:r>
          </w:p>
          <w:p w:rsidR="00160E44" w:rsidRDefault="00160E44" w:rsidP="00160E44">
            <w:pPr>
              <w:pStyle w:val="NormalWeb"/>
              <w:spacing w:before="0" w:beforeAutospacing="0" w:after="0" w:afterAutospacing="0"/>
              <w:jc w:val="both"/>
            </w:pPr>
            <w:r>
              <w:t>The drive section shall be vibration-isolated both from the floor and from the diffuser.</w:t>
            </w:r>
          </w:p>
          <w:p w:rsidR="00160E44" w:rsidRPr="00160E44" w:rsidRDefault="00160E44" w:rsidP="00160E44">
            <w:pPr>
              <w:pStyle w:val="NormalWeb"/>
              <w:spacing w:before="0" w:beforeAutospacing="0" w:after="0" w:afterAutospacing="0"/>
              <w:jc w:val="both"/>
              <w:rPr>
                <w:b/>
                <w:bCs/>
              </w:rPr>
            </w:pPr>
            <w:r w:rsidRPr="00160E44">
              <w:rPr>
                <w:b/>
                <w:bCs/>
              </w:rPr>
              <w:t>1.5. Safety screens</w:t>
            </w:r>
          </w:p>
          <w:p w:rsidR="00160E44" w:rsidRDefault="00160E44" w:rsidP="00160E44">
            <w:pPr>
              <w:pStyle w:val="NormalWeb"/>
              <w:spacing w:before="0" w:beforeAutospacing="0" w:after="0" w:afterAutospacing="0"/>
              <w:jc w:val="both"/>
            </w:pPr>
            <w:r>
              <w:t>Stainless steel mesh, at the inlet and before the drive section.</w:t>
            </w:r>
          </w:p>
          <w:p w:rsidR="00160E44" w:rsidRPr="00160E44" w:rsidRDefault="00160E44" w:rsidP="00160E44">
            <w:pPr>
              <w:pStyle w:val="NormalWeb"/>
              <w:spacing w:before="0" w:beforeAutospacing="0" w:after="0" w:afterAutospacing="0"/>
              <w:jc w:val="both"/>
              <w:rPr>
                <w:b/>
                <w:bCs/>
              </w:rPr>
            </w:pPr>
            <w:r w:rsidRPr="00160E44">
              <w:rPr>
                <w:b/>
                <w:bCs/>
              </w:rPr>
              <w:t>1.6. Materials</w:t>
            </w:r>
          </w:p>
          <w:p w:rsidR="00160E44" w:rsidRDefault="00160E44" w:rsidP="00160E44">
            <w:pPr>
              <w:pStyle w:val="NormalWeb"/>
              <w:spacing w:before="0" w:beforeAutospacing="0" w:after="0" w:afterAutospacing="0"/>
              <w:jc w:val="both"/>
            </w:pPr>
            <w:r>
              <w:t>Corrosion protection, durable materials, without deformation in the specified temperature range.</w:t>
            </w:r>
          </w:p>
          <w:p w:rsidR="00160E44" w:rsidRPr="00160E44" w:rsidRDefault="00160E44" w:rsidP="00160E44">
            <w:pPr>
              <w:pStyle w:val="NormalWeb"/>
              <w:spacing w:before="0" w:beforeAutospacing="0" w:after="0" w:afterAutospacing="0"/>
              <w:jc w:val="both"/>
              <w:rPr>
                <w:b/>
                <w:bCs/>
              </w:rPr>
            </w:pPr>
            <w:r w:rsidRPr="00160E44">
              <w:rPr>
                <w:b/>
                <w:bCs/>
              </w:rPr>
              <w:t>1.7. Internal surface</w:t>
            </w:r>
          </w:p>
          <w:p w:rsidR="00160E44" w:rsidRDefault="00160E44" w:rsidP="00160E44">
            <w:pPr>
              <w:pStyle w:val="NormalWeb"/>
              <w:spacing w:before="0" w:beforeAutospacing="0" w:after="0" w:afterAutospacing="0"/>
              <w:jc w:val="both"/>
            </w:pPr>
            <w:r>
              <w:t>Smooth, without defects, ensuring low friction.</w:t>
            </w:r>
          </w:p>
          <w:p w:rsidR="00160E44" w:rsidRPr="00160E44" w:rsidRDefault="00160E44" w:rsidP="00160E44">
            <w:pPr>
              <w:pStyle w:val="NormalWeb"/>
              <w:spacing w:before="0" w:beforeAutospacing="0" w:after="0" w:afterAutospacing="0"/>
              <w:jc w:val="both"/>
              <w:rPr>
                <w:b/>
                <w:bCs/>
              </w:rPr>
            </w:pPr>
            <w:r w:rsidRPr="00160E44">
              <w:rPr>
                <w:b/>
                <w:bCs/>
              </w:rPr>
              <w:t>1.8. Transportability</w:t>
            </w:r>
          </w:p>
          <w:p w:rsidR="00160E44" w:rsidRDefault="00160E44" w:rsidP="00160E44">
            <w:pPr>
              <w:pStyle w:val="NormalWeb"/>
              <w:spacing w:before="0" w:beforeAutospacing="0" w:after="0" w:afterAutospacing="0"/>
              <w:jc w:val="both"/>
            </w:pPr>
            <w:r>
              <w:t>Compatible with a 2.38 × 2.6 m opening.</w:t>
            </w:r>
          </w:p>
          <w:p w:rsidR="00160E44" w:rsidRPr="00160E44" w:rsidRDefault="00160E44" w:rsidP="00160E44">
            <w:pPr>
              <w:pStyle w:val="NormalWeb"/>
              <w:spacing w:before="0" w:beforeAutospacing="0" w:after="0" w:afterAutospacing="0"/>
              <w:jc w:val="both"/>
              <w:rPr>
                <w:b/>
                <w:bCs/>
              </w:rPr>
            </w:pPr>
            <w:r w:rsidRPr="00160E44">
              <w:rPr>
                <w:b/>
                <w:bCs/>
              </w:rPr>
              <w:t>1.9. Assembly and tightness</w:t>
            </w:r>
          </w:p>
          <w:p w:rsidR="00160E44" w:rsidRDefault="00160E44" w:rsidP="00160E44">
            <w:pPr>
              <w:pStyle w:val="NormalWeb"/>
              <w:spacing w:before="0" w:beforeAutospacing="0" w:after="0" w:afterAutospacing="0"/>
              <w:jc w:val="both"/>
            </w:pPr>
            <w:r>
              <w:t>All connections shall be airtight, with smooth internal surfaces after assembly.</w:t>
            </w:r>
          </w:p>
          <w:p w:rsidR="00160E44" w:rsidRPr="00160E44" w:rsidRDefault="00160E44" w:rsidP="00160E44">
            <w:pPr>
              <w:pStyle w:val="NormalWeb"/>
              <w:spacing w:before="0" w:beforeAutospacing="0" w:after="0" w:afterAutospacing="0"/>
              <w:jc w:val="both"/>
              <w:rPr>
                <w:b/>
                <w:bCs/>
              </w:rPr>
            </w:pPr>
            <w:r w:rsidRPr="00160E44">
              <w:rPr>
                <w:b/>
                <w:bCs/>
              </w:rPr>
              <w:t>1.10. Maintenance access</w:t>
            </w:r>
          </w:p>
          <w:p w:rsidR="00160E44" w:rsidRDefault="00160E44" w:rsidP="00160E44">
            <w:pPr>
              <w:pStyle w:val="NormalWeb"/>
              <w:spacing w:before="0" w:beforeAutospacing="0" w:after="0" w:afterAutospacing="0"/>
              <w:jc w:val="both"/>
            </w:pPr>
            <w:r>
              <w:t>Inspection openings and access panels in all key areas.</w:t>
            </w:r>
          </w:p>
          <w:p w:rsidR="00160E44" w:rsidRPr="00160E44" w:rsidRDefault="00160E44" w:rsidP="00160E44">
            <w:pPr>
              <w:pStyle w:val="NormalWeb"/>
              <w:spacing w:before="0" w:beforeAutospacing="0" w:after="0" w:afterAutospacing="0"/>
              <w:jc w:val="both"/>
              <w:rPr>
                <w:b/>
                <w:bCs/>
              </w:rPr>
            </w:pPr>
            <w:r w:rsidRPr="00160E44">
              <w:rPr>
                <w:b/>
                <w:bCs/>
              </w:rPr>
              <w:t>1.11. Aerodynamic parameters</w:t>
            </w:r>
          </w:p>
          <w:p w:rsidR="00160E44" w:rsidRDefault="00160E44" w:rsidP="00160E44">
            <w:pPr>
              <w:pStyle w:val="NormalWeb"/>
              <w:spacing w:before="0" w:beforeAutospacing="0" w:after="0" w:afterAutospacing="0"/>
              <w:jc w:val="both"/>
            </w:pPr>
            <w:r>
              <w:t>• Maximum speed: 30 m/s</w:t>
            </w:r>
          </w:p>
          <w:p w:rsidR="00160E44" w:rsidRDefault="00160E44" w:rsidP="00160E44">
            <w:pPr>
              <w:pStyle w:val="NormalWeb"/>
              <w:spacing w:before="0" w:beforeAutospacing="0" w:after="0" w:afterAutospacing="0"/>
              <w:jc w:val="both"/>
            </w:pPr>
            <w:r>
              <w:t>• Turbulence intensity: &lt; 0.7%</w:t>
            </w:r>
          </w:p>
          <w:p w:rsidR="00160E44" w:rsidRDefault="00160E44" w:rsidP="00160E44">
            <w:pPr>
              <w:pStyle w:val="NormalWeb"/>
              <w:spacing w:before="0" w:beforeAutospacing="0" w:after="0" w:afterAutospacing="0"/>
              <w:jc w:val="both"/>
            </w:pPr>
            <w:r>
              <w:t>• Flow non-uniformity: ≤ ±2% over 80% of the test section</w:t>
            </w:r>
          </w:p>
          <w:p w:rsidR="00160E44" w:rsidRDefault="00160E44" w:rsidP="00160E44">
            <w:pPr>
              <w:pStyle w:val="NormalWeb"/>
              <w:spacing w:before="0" w:beforeAutospacing="0" w:after="0" w:afterAutospacing="0"/>
              <w:jc w:val="both"/>
            </w:pPr>
            <w:r>
              <w:t>• Flow without pulsations when the test section is empty</w:t>
            </w:r>
          </w:p>
          <w:p w:rsidR="00160E44" w:rsidRDefault="00160E44" w:rsidP="00160E44">
            <w:pPr>
              <w:pStyle w:val="NormalWeb"/>
              <w:spacing w:before="0" w:beforeAutospacing="0" w:after="0" w:afterAutospacing="0"/>
              <w:jc w:val="both"/>
            </w:pPr>
            <w:r>
              <w:t>• Maximum noise level: ≤ 88 dB(A) at 30 m/s</w:t>
            </w:r>
          </w:p>
          <w:p w:rsidR="00160E44" w:rsidRDefault="00160E44" w:rsidP="00160E44">
            <w:pPr>
              <w:pStyle w:val="NormalWeb"/>
              <w:spacing w:before="0" w:beforeAutospacing="0" w:after="0" w:afterAutospacing="0"/>
              <w:jc w:val="both"/>
            </w:pPr>
            <w:r>
              <w:t>CFD analysis may be provided as supporting design documentation, but shall not be used as an acceptance criterion regarding turbulence or flow uniformity.</w:t>
            </w:r>
          </w:p>
          <w:p w:rsidR="00160E44" w:rsidRPr="00160E44" w:rsidRDefault="00160E44" w:rsidP="00160E44">
            <w:pPr>
              <w:pStyle w:val="NormalWeb"/>
              <w:spacing w:before="0" w:beforeAutospacing="0" w:after="0" w:afterAutospacing="0"/>
              <w:jc w:val="both"/>
              <w:rPr>
                <w:b/>
                <w:bCs/>
              </w:rPr>
            </w:pPr>
            <w:r w:rsidRPr="00160E44">
              <w:rPr>
                <w:b/>
                <w:bCs/>
              </w:rPr>
              <w:t>1.12. Loads and vibrations</w:t>
            </w:r>
          </w:p>
          <w:p w:rsidR="00160E44" w:rsidRDefault="00160E44" w:rsidP="00160E44">
            <w:pPr>
              <w:pStyle w:val="NormalWeb"/>
              <w:numPr>
                <w:ilvl w:val="0"/>
                <w:numId w:val="11"/>
              </w:numPr>
              <w:spacing w:before="0" w:beforeAutospacing="0" w:after="0" w:afterAutospacing="0"/>
              <w:jc w:val="both"/>
            </w:pPr>
            <w:r>
              <w:t>A basic structural analysis shall be performed: strength, dynamics, natural frequencies</w:t>
            </w:r>
          </w:p>
          <w:p w:rsidR="00160E44" w:rsidRDefault="00160E44" w:rsidP="00160E44">
            <w:pPr>
              <w:pStyle w:val="NormalWeb"/>
              <w:numPr>
                <w:ilvl w:val="0"/>
                <w:numId w:val="11"/>
              </w:numPr>
              <w:spacing w:before="0" w:beforeAutospacing="0" w:after="0" w:afterAutospacing="0"/>
              <w:jc w:val="both"/>
            </w:pPr>
            <w:r>
              <w:t>vibration of support sections ≤ 0.5 mm/s RMS</w:t>
            </w:r>
          </w:p>
          <w:p w:rsidR="00160E44" w:rsidRDefault="00160E44" w:rsidP="00160E44">
            <w:pPr>
              <w:pStyle w:val="NormalWeb"/>
              <w:numPr>
                <w:ilvl w:val="0"/>
                <w:numId w:val="11"/>
              </w:numPr>
              <w:spacing w:before="0" w:beforeAutospacing="0" w:after="0" w:afterAutospacing="0"/>
              <w:jc w:val="both"/>
            </w:pPr>
            <w:r>
              <w:t>vibration of fan ≤ 2 mm/s RMS</w:t>
            </w:r>
          </w:p>
          <w:p w:rsidR="00160E44" w:rsidRPr="00160E44" w:rsidRDefault="00160E44" w:rsidP="00160E44">
            <w:pPr>
              <w:pStyle w:val="NormalWeb"/>
              <w:spacing w:before="0" w:beforeAutospacing="0" w:after="0" w:afterAutospacing="0"/>
              <w:jc w:val="both"/>
              <w:rPr>
                <w:b/>
                <w:bCs/>
              </w:rPr>
            </w:pPr>
            <w:r w:rsidRPr="00160E44">
              <w:rPr>
                <w:b/>
                <w:bCs/>
              </w:rPr>
              <w:t>1.13. Blockage limitation</w:t>
            </w:r>
          </w:p>
          <w:p w:rsidR="00852D24" w:rsidRDefault="00160E44" w:rsidP="00160E44">
            <w:pPr>
              <w:pStyle w:val="NormalWeb"/>
              <w:spacing w:before="0" w:beforeAutospacing="0" w:after="0" w:afterAutospacing="0"/>
              <w:jc w:val="both"/>
            </w:pPr>
            <w:r>
              <w:t>The Contractor shall provide blockage correction diagrams and shall guarantee blockage ≤5%.</w:t>
            </w:r>
          </w:p>
        </w:tc>
        <w:tc>
          <w:tcPr>
            <w:tcW w:w="4698" w:type="dxa"/>
          </w:tcPr>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 Основни конструктивни изисквания</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1.1. Общи габарити</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Максимални размери: дължина 22,0 m, ширина 4,5 m, височина 3,0 m. </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Помещението за монтаж е с размери: дължина 30 m, ширина 18 m, височина 5 m. Вратата е с размери - 2,38 х 2,6 m. Оборудвано е с мостов кран 3,2 t с максимална височина на куката 3,1 m. Приложени са чертежи и снимки на наличното оборудване. </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На етапа на проектиране, Изпълнителят трябва да определи местоположението на опорите и разпределението на натоварванията върху пода и да предостави тази информация на Възложителя. Изпълнителят трябва да предостави подробна инструкция за необходимите  строително- монтажни работи по подготовка на фундамента, работната площадка, околните стени, евентуални други изисквания, свързани с безопасната експлоатация.</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1.2. Секции на тръбата</w:t>
            </w:r>
          </w:p>
          <w:p w:rsidR="001C0856" w:rsidRPr="001C0856" w:rsidRDefault="001C0856" w:rsidP="00F93A57">
            <w:pPr>
              <w:pStyle w:val="NormalWeb"/>
              <w:spacing w:before="0" w:beforeAutospacing="0" w:after="0" w:afterAutospacing="0"/>
              <w:jc w:val="both"/>
              <w:rPr>
                <w:rFonts w:eastAsiaTheme="majorEastAsia"/>
                <w:bCs/>
                <w:lang w:val="ru-RU"/>
              </w:rPr>
            </w:pPr>
            <w:r w:rsidRPr="001C0856">
              <w:rPr>
                <w:rFonts w:eastAsiaTheme="majorEastAsia"/>
                <w:bCs/>
                <w:lang w:val="bg-BG"/>
              </w:rPr>
              <w:t>Тръбата трябва да включва:</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1.2.1. Секция за формиране на скоростното поле, </w:t>
            </w:r>
            <w:r w:rsidRPr="001C0856">
              <w:rPr>
                <w:rFonts w:eastAsiaTheme="majorEastAsia"/>
                <w:b/>
                <w:bCs/>
                <w:lang w:val="bg-BG"/>
              </w:rPr>
              <w:t>лесно демонтиращи се</w:t>
            </w:r>
            <w:r w:rsidRPr="001C0856">
              <w:rPr>
                <w:rFonts w:eastAsiaTheme="majorEastAsia"/>
                <w:bCs/>
                <w:lang w:val="bg-BG"/>
              </w:rPr>
              <w:t xml:space="preserve"> за почистване и проверка.</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1.2.2. </w:t>
            </w:r>
            <w:proofErr w:type="spellStart"/>
            <w:r w:rsidRPr="001C0856">
              <w:rPr>
                <w:rFonts w:eastAsiaTheme="majorEastAsia"/>
                <w:bCs/>
                <w:lang w:val="bg-BG"/>
              </w:rPr>
              <w:t>Конфузор</w:t>
            </w:r>
            <w:proofErr w:type="spellEnd"/>
            <w:r w:rsidRPr="001C0856">
              <w:rPr>
                <w:rFonts w:eastAsiaTheme="majorEastAsia"/>
                <w:bCs/>
                <w:lang w:val="bg-BG"/>
              </w:rPr>
              <w:t>.</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1.2.3. Секция за генериране на приземен слой, дължина </w:t>
            </w:r>
            <w:r w:rsidRPr="001C0856">
              <w:rPr>
                <w:rFonts w:eastAsiaTheme="majorEastAsia"/>
                <w:bCs/>
              </w:rPr>
              <w:t>6 ÷</w:t>
            </w:r>
            <w:r w:rsidRPr="001C0856">
              <w:rPr>
                <w:rFonts w:eastAsiaTheme="majorEastAsia"/>
                <w:bCs/>
                <w:lang w:val="bg-BG"/>
              </w:rPr>
              <w:t xml:space="preserve"> 8 m</w:t>
            </w:r>
            <w:r w:rsidRPr="001C0856">
              <w:rPr>
                <w:rFonts w:eastAsiaTheme="majorEastAsia"/>
                <w:bCs/>
              </w:rPr>
              <w:t>.</w:t>
            </w:r>
            <w:r w:rsidRPr="001C0856">
              <w:rPr>
                <w:rFonts w:eastAsiaTheme="majorEastAsia"/>
                <w:bCs/>
                <w:lang w:val="bg-BG"/>
              </w:rPr>
              <w:t xml:space="preserve"> В началото на секцията да има сонда за измерване на скоростта на потока. Опция LED осветление ≥ 500 </w:t>
            </w:r>
            <w:proofErr w:type="spellStart"/>
            <w:r w:rsidRPr="001C0856">
              <w:rPr>
                <w:rFonts w:eastAsiaTheme="majorEastAsia"/>
                <w:bCs/>
                <w:lang w:val="bg-BG"/>
              </w:rPr>
              <w:t>lux</w:t>
            </w:r>
            <w:proofErr w:type="spellEnd"/>
            <w:r w:rsidRPr="001C0856">
              <w:rPr>
                <w:rFonts w:eastAsiaTheme="majorEastAsia"/>
                <w:bCs/>
                <w:lang w:val="bg-BG"/>
              </w:rPr>
              <w:t xml:space="preserve">, без влияние върху потока. </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1.2.4. Затворен работен участък (около 2,0 х 1,8 х 1,2 m), с прозрачни панели отстрани, </w:t>
            </w:r>
            <w:proofErr w:type="spellStart"/>
            <w:r w:rsidRPr="001C0856">
              <w:rPr>
                <w:rFonts w:eastAsiaTheme="majorEastAsia"/>
                <w:bCs/>
                <w:lang w:val="bg-BG"/>
              </w:rPr>
              <w:t>незапотяващи</w:t>
            </w:r>
            <w:proofErr w:type="spellEnd"/>
            <w:r w:rsidRPr="001C0856">
              <w:rPr>
                <w:rFonts w:eastAsiaTheme="majorEastAsia"/>
                <w:bCs/>
                <w:lang w:val="bg-BG"/>
              </w:rPr>
              <w:t xml:space="preserve"> се подходящи за фото и видео заснемане. Панелите да се отварят и демонтират, с повторяемост на монтажа. Тавана на работния участък да се изпълни с три капака които се демонтират за осигуряване на лесен достъп, транспортиране и монтаж на моделите. Капаците да се опират само върху бордовете на работната секция. В свободния отвор при отворени капаци да няма допълнителни конструкции и греди между стените.</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Да се предвиди вграждане на въртяща се платформа с </w:t>
            </w:r>
            <w:proofErr w:type="spellStart"/>
            <w:r w:rsidRPr="001C0856">
              <w:rPr>
                <w:rFonts w:eastAsiaTheme="majorEastAsia"/>
                <w:bCs/>
                <w:lang w:val="bg-BG"/>
              </w:rPr>
              <w:t>електрозадвижване</w:t>
            </w:r>
            <w:proofErr w:type="spellEnd"/>
            <w:r w:rsidRPr="001C0856">
              <w:rPr>
                <w:rFonts w:eastAsiaTheme="majorEastAsia"/>
                <w:bCs/>
                <w:lang w:val="bg-BG"/>
              </w:rPr>
              <w:t xml:space="preserve"> и автоматично управление, която да осигурява:</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завъртане ±180</w:t>
            </w:r>
            <w:r w:rsidRPr="001C0856">
              <w:rPr>
                <w:rFonts w:eastAsiaTheme="majorEastAsia"/>
                <w:bCs/>
                <w:vertAlign w:val="superscript"/>
                <w:lang w:val="bg-BG"/>
              </w:rPr>
              <w:t>о</w:t>
            </w:r>
            <w:r w:rsidRPr="001C0856">
              <w:rPr>
                <w:rFonts w:eastAsiaTheme="majorEastAsia"/>
                <w:bCs/>
                <w:lang w:val="bg-BG"/>
              </w:rPr>
              <w:t xml:space="preserve"> със стъпка 0.1</w:t>
            </w:r>
            <w:r w:rsidRPr="001C0856">
              <w:rPr>
                <w:rFonts w:eastAsiaTheme="majorEastAsia"/>
                <w:bCs/>
                <w:vertAlign w:val="superscript"/>
                <w:lang w:val="bg-BG"/>
              </w:rPr>
              <w:t>о</w:t>
            </w:r>
            <w:r w:rsidRPr="001C0856">
              <w:rPr>
                <w:rFonts w:eastAsiaTheme="majorEastAsia"/>
                <w:bCs/>
                <w:lang w:val="bg-BG"/>
              </w:rPr>
              <w:t xml:space="preserve"> ; точност на позициониране – 1‘. </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централно отвеждане на кабели;</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възможност за вграждане на 6-компонентна везна</w:t>
            </w:r>
            <w:r w:rsidRPr="001C0856">
              <w:rPr>
                <w:rFonts w:eastAsiaTheme="majorEastAsia"/>
                <w:bCs/>
              </w:rPr>
              <w:t xml:space="preserve"> </w:t>
            </w:r>
            <w:r w:rsidRPr="001C0856">
              <w:rPr>
                <w:rFonts w:eastAsiaTheme="majorEastAsia"/>
                <w:bCs/>
                <w:lang w:val="bg-BG"/>
              </w:rPr>
              <w:t>с височина 300 мм;</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регулиране по височина;</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плоскостта на платформата са е ≤0,5 mm; деформация ≤ 0,2 mm при 300 N натоварване.</w:t>
            </w:r>
          </w:p>
          <w:p w:rsidR="001C0856" w:rsidRPr="001C0856" w:rsidRDefault="001C0856" w:rsidP="00F93A57">
            <w:pPr>
              <w:pStyle w:val="NormalWeb"/>
              <w:numPr>
                <w:ilvl w:val="0"/>
                <w:numId w:val="2"/>
              </w:numPr>
              <w:spacing w:before="0" w:beforeAutospacing="0" w:after="0" w:afterAutospacing="0"/>
              <w:jc w:val="both"/>
              <w:rPr>
                <w:rFonts w:eastAsiaTheme="majorEastAsia"/>
                <w:bCs/>
                <w:lang w:val="bg-BG"/>
              </w:rPr>
            </w:pPr>
            <w:r w:rsidRPr="001C0856">
              <w:rPr>
                <w:rFonts w:eastAsiaTheme="majorEastAsia"/>
                <w:bCs/>
                <w:lang w:val="bg-BG"/>
              </w:rPr>
              <w:t xml:space="preserve">сменяем горен плот </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1.2.5. </w:t>
            </w:r>
            <w:proofErr w:type="spellStart"/>
            <w:r w:rsidRPr="001C0856">
              <w:rPr>
                <w:rFonts w:eastAsiaTheme="majorEastAsia"/>
                <w:bCs/>
                <w:lang w:val="bg-BG"/>
              </w:rPr>
              <w:t>Дифузор</w:t>
            </w:r>
            <w:proofErr w:type="spellEnd"/>
            <w:r w:rsidRPr="001C0856">
              <w:rPr>
                <w:rFonts w:eastAsiaTheme="majorEastAsia"/>
                <w:bCs/>
                <w:lang w:val="bg-BG"/>
              </w:rPr>
              <w:t>.</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1.2.6. Секция на задвижване – вентилатор(и), динамично балансирани по ISO 14694 или ISO 1940-1, с ниско ниво на шум  ≤88 </w:t>
            </w:r>
            <w:proofErr w:type="spellStart"/>
            <w:r w:rsidRPr="001C0856">
              <w:rPr>
                <w:rFonts w:eastAsiaTheme="majorEastAsia"/>
                <w:bCs/>
                <w:lang w:val="bg-BG"/>
              </w:rPr>
              <w:t>dB</w:t>
            </w:r>
            <w:proofErr w:type="spellEnd"/>
            <w:r w:rsidRPr="001C0856">
              <w:rPr>
                <w:rFonts w:eastAsiaTheme="majorEastAsia"/>
                <w:bCs/>
                <w:lang w:val="bg-BG"/>
              </w:rPr>
              <w:t>.</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1.3. Регулиране на височината</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Всяка секция трябва да позволява регулиране за </w:t>
            </w:r>
            <w:proofErr w:type="spellStart"/>
            <w:r w:rsidRPr="001C0856">
              <w:rPr>
                <w:rFonts w:eastAsiaTheme="majorEastAsia"/>
                <w:bCs/>
                <w:lang w:val="bg-BG"/>
              </w:rPr>
              <w:t>съосност</w:t>
            </w:r>
            <w:proofErr w:type="spellEnd"/>
            <w:r w:rsidRPr="001C0856">
              <w:rPr>
                <w:rFonts w:eastAsiaTheme="majorEastAsia"/>
                <w:bCs/>
                <w:lang w:val="bg-BG"/>
              </w:rPr>
              <w:t xml:space="preserve"> и нивелиране.</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 xml:space="preserve">1.4. </w:t>
            </w:r>
            <w:proofErr w:type="spellStart"/>
            <w:r w:rsidRPr="001C0856">
              <w:rPr>
                <w:rFonts w:eastAsiaTheme="majorEastAsia"/>
                <w:b/>
                <w:bCs/>
                <w:lang w:val="bg-BG"/>
              </w:rPr>
              <w:t>Виброизолация</w:t>
            </w:r>
            <w:proofErr w:type="spellEnd"/>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Всички секции да бъдат върху </w:t>
            </w:r>
            <w:proofErr w:type="spellStart"/>
            <w:r w:rsidRPr="001C0856">
              <w:rPr>
                <w:rFonts w:eastAsiaTheme="majorEastAsia"/>
                <w:bCs/>
                <w:lang w:val="bg-BG"/>
              </w:rPr>
              <w:t>демпфери</w:t>
            </w:r>
            <w:proofErr w:type="spellEnd"/>
            <w:r w:rsidRPr="001C0856">
              <w:rPr>
                <w:rFonts w:eastAsiaTheme="majorEastAsia"/>
                <w:bCs/>
                <w:lang w:val="bg-BG"/>
              </w:rPr>
              <w:t xml:space="preserve">.  Задвижващата секция да е </w:t>
            </w:r>
            <w:proofErr w:type="spellStart"/>
            <w:r w:rsidRPr="001C0856">
              <w:rPr>
                <w:rFonts w:eastAsiaTheme="majorEastAsia"/>
                <w:bCs/>
                <w:lang w:val="bg-BG"/>
              </w:rPr>
              <w:t>виброизолирана</w:t>
            </w:r>
            <w:proofErr w:type="spellEnd"/>
            <w:r w:rsidRPr="001C0856">
              <w:rPr>
                <w:rFonts w:eastAsiaTheme="majorEastAsia"/>
                <w:bCs/>
                <w:lang w:val="bg-BG"/>
              </w:rPr>
              <w:t xml:space="preserve"> както от пода така и от </w:t>
            </w:r>
            <w:proofErr w:type="spellStart"/>
            <w:r w:rsidRPr="001C0856">
              <w:rPr>
                <w:rFonts w:eastAsiaTheme="majorEastAsia"/>
                <w:bCs/>
                <w:lang w:val="bg-BG"/>
              </w:rPr>
              <w:t>дифузора</w:t>
            </w:r>
            <w:proofErr w:type="spellEnd"/>
            <w:r w:rsidRPr="001C0856">
              <w:rPr>
                <w:rFonts w:eastAsiaTheme="majorEastAsia"/>
                <w:bCs/>
                <w:lang w:val="bg-BG"/>
              </w:rPr>
              <w:t>.</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1.5. Защитни мрежи</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От неръждаема стомана, на входа и преди задвижващата секция.</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1.6. Материали</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Антикорозионна защита, дълготрайни материали, без деформации в указания температурен диапазон.</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1.7. Вътрешна повърхност</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Гладка, без дефекти, гарантирано ниско триене.</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 xml:space="preserve">1.8. </w:t>
            </w:r>
            <w:proofErr w:type="spellStart"/>
            <w:r w:rsidRPr="001C0856">
              <w:rPr>
                <w:rFonts w:eastAsiaTheme="majorEastAsia"/>
                <w:b/>
                <w:bCs/>
                <w:lang w:val="bg-BG"/>
              </w:rPr>
              <w:t>Транспортабилност</w:t>
            </w:r>
            <w:proofErr w:type="spellEnd"/>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Съобразено с отвор 2,38 х 2,6 m.</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1.9. Сглобяване и херметичност</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Връзките – херметични, с гладка вътрешна повърхност след монтаж.</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1.10. Достъп за обслужване</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Инспекционни отвори и панели за достъп във всички ключови зони.</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1.11. Аеродинамични параметри</w:t>
            </w:r>
          </w:p>
          <w:p w:rsidR="001C0856" w:rsidRPr="001C0856" w:rsidRDefault="001C0856" w:rsidP="00F93A57">
            <w:pPr>
              <w:pStyle w:val="NormalWeb"/>
              <w:numPr>
                <w:ilvl w:val="0"/>
                <w:numId w:val="3"/>
              </w:numPr>
              <w:spacing w:before="0" w:beforeAutospacing="0" w:after="0" w:afterAutospacing="0"/>
              <w:jc w:val="both"/>
              <w:rPr>
                <w:rFonts w:eastAsiaTheme="majorEastAsia"/>
                <w:bCs/>
                <w:lang w:val="bg-BG"/>
              </w:rPr>
            </w:pPr>
            <w:r w:rsidRPr="001C0856">
              <w:rPr>
                <w:rFonts w:eastAsiaTheme="majorEastAsia"/>
                <w:bCs/>
                <w:lang w:val="bg-BG"/>
              </w:rPr>
              <w:t>Максимална скорост: 30 m/s</w:t>
            </w:r>
          </w:p>
          <w:p w:rsidR="001C0856" w:rsidRPr="001C0856" w:rsidRDefault="001C0856" w:rsidP="00F93A57">
            <w:pPr>
              <w:pStyle w:val="NormalWeb"/>
              <w:numPr>
                <w:ilvl w:val="0"/>
                <w:numId w:val="3"/>
              </w:numPr>
              <w:spacing w:before="0" w:beforeAutospacing="0" w:after="0" w:afterAutospacing="0"/>
              <w:jc w:val="both"/>
              <w:rPr>
                <w:rFonts w:eastAsiaTheme="majorEastAsia"/>
                <w:bCs/>
                <w:lang w:val="bg-BG"/>
              </w:rPr>
            </w:pPr>
            <w:r w:rsidRPr="001C0856">
              <w:rPr>
                <w:rFonts w:eastAsiaTheme="majorEastAsia"/>
                <w:bCs/>
                <w:lang w:val="bg-BG"/>
              </w:rPr>
              <w:t>Турбулентност: &lt; 0,7%</w:t>
            </w:r>
          </w:p>
          <w:p w:rsidR="001C0856" w:rsidRPr="001C0856" w:rsidRDefault="001C0856" w:rsidP="00F93A57">
            <w:pPr>
              <w:pStyle w:val="NormalWeb"/>
              <w:numPr>
                <w:ilvl w:val="0"/>
                <w:numId w:val="3"/>
              </w:numPr>
              <w:spacing w:before="0" w:beforeAutospacing="0" w:after="0" w:afterAutospacing="0"/>
              <w:jc w:val="both"/>
              <w:rPr>
                <w:rFonts w:eastAsiaTheme="majorEastAsia"/>
                <w:bCs/>
                <w:lang w:val="bg-BG"/>
              </w:rPr>
            </w:pPr>
            <w:r w:rsidRPr="001C0856">
              <w:rPr>
                <w:rFonts w:eastAsiaTheme="majorEastAsia"/>
                <w:bCs/>
                <w:lang w:val="bg-BG"/>
              </w:rPr>
              <w:t>Нееднородност на скоростта: ≤ ±2% в 80% от работния участък</w:t>
            </w:r>
          </w:p>
          <w:p w:rsidR="001C0856" w:rsidRPr="001C0856" w:rsidRDefault="001C0856" w:rsidP="00F93A57">
            <w:pPr>
              <w:pStyle w:val="NormalWeb"/>
              <w:numPr>
                <w:ilvl w:val="0"/>
                <w:numId w:val="3"/>
              </w:numPr>
              <w:spacing w:before="0" w:beforeAutospacing="0" w:after="0" w:afterAutospacing="0"/>
              <w:jc w:val="both"/>
              <w:rPr>
                <w:rFonts w:eastAsiaTheme="majorEastAsia"/>
                <w:bCs/>
                <w:lang w:val="bg-BG"/>
              </w:rPr>
            </w:pPr>
            <w:r w:rsidRPr="001C0856">
              <w:rPr>
                <w:rFonts w:eastAsiaTheme="majorEastAsia"/>
                <w:bCs/>
                <w:lang w:val="bg-BG"/>
              </w:rPr>
              <w:t>Поток без пулсации при празен участък</w:t>
            </w:r>
          </w:p>
          <w:p w:rsidR="001C0856" w:rsidRPr="001C0856" w:rsidRDefault="001C0856" w:rsidP="00F93A57">
            <w:pPr>
              <w:pStyle w:val="NormalWeb"/>
              <w:numPr>
                <w:ilvl w:val="0"/>
                <w:numId w:val="3"/>
              </w:numPr>
              <w:spacing w:before="0" w:beforeAutospacing="0" w:after="0" w:afterAutospacing="0"/>
              <w:jc w:val="both"/>
              <w:rPr>
                <w:rFonts w:eastAsiaTheme="majorEastAsia"/>
                <w:bCs/>
                <w:lang w:val="bg-BG"/>
              </w:rPr>
            </w:pPr>
            <w:r w:rsidRPr="001C0856">
              <w:rPr>
                <w:rFonts w:eastAsiaTheme="majorEastAsia"/>
                <w:b/>
                <w:bCs/>
                <w:lang w:val="bg-BG"/>
              </w:rPr>
              <w:t xml:space="preserve">Максимално ниво на шум: ≤ 88 </w:t>
            </w:r>
            <w:proofErr w:type="spellStart"/>
            <w:r w:rsidRPr="001C0856">
              <w:rPr>
                <w:rFonts w:eastAsiaTheme="majorEastAsia"/>
                <w:b/>
                <w:bCs/>
                <w:lang w:val="bg-BG"/>
              </w:rPr>
              <w:t>dB</w:t>
            </w:r>
            <w:proofErr w:type="spellEnd"/>
            <w:r w:rsidRPr="001C0856">
              <w:rPr>
                <w:rFonts w:eastAsiaTheme="majorEastAsia"/>
                <w:b/>
                <w:bCs/>
                <w:lang w:val="bg-BG"/>
              </w:rPr>
              <w:t>(A) при 30 m/s</w:t>
            </w:r>
          </w:p>
          <w:p w:rsidR="001C0856" w:rsidRPr="001C0856" w:rsidRDefault="001C0856" w:rsidP="00F93A57">
            <w:pPr>
              <w:pStyle w:val="NormalWeb"/>
              <w:spacing w:before="0" w:beforeAutospacing="0" w:after="0" w:afterAutospacing="0"/>
              <w:jc w:val="both"/>
              <w:rPr>
                <w:rFonts w:eastAsiaTheme="majorEastAsia"/>
                <w:bCs/>
                <w:lang w:val="bg-BG"/>
              </w:rPr>
            </w:pPr>
            <w:r w:rsidRPr="001C0856">
              <w:rPr>
                <w:rFonts w:eastAsiaTheme="majorEastAsia"/>
                <w:bCs/>
                <w:lang w:val="bg-BG"/>
              </w:rPr>
              <w:t>CFD анализ може да бъде предоставен като подпомагаща проектната документация, но не следва да се използва като критерий за приемане по отношение на турбулентност или еднородност на потока.</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1.12. Натоварвания и вибрации</w:t>
            </w:r>
          </w:p>
          <w:p w:rsidR="001C0856" w:rsidRPr="001C0856" w:rsidRDefault="001C0856" w:rsidP="00F93A57">
            <w:pPr>
              <w:pStyle w:val="NormalWeb"/>
              <w:numPr>
                <w:ilvl w:val="0"/>
                <w:numId w:val="4"/>
              </w:numPr>
              <w:spacing w:before="0" w:beforeAutospacing="0" w:after="0" w:afterAutospacing="0"/>
              <w:jc w:val="both"/>
              <w:rPr>
                <w:rFonts w:eastAsiaTheme="majorEastAsia"/>
                <w:bCs/>
                <w:lang w:val="bg-BG"/>
              </w:rPr>
            </w:pPr>
            <w:r w:rsidRPr="001C0856">
              <w:rPr>
                <w:rFonts w:eastAsiaTheme="majorEastAsia"/>
                <w:bCs/>
                <w:lang w:val="bg-BG"/>
              </w:rPr>
              <w:t>Да се направи базов структурен анализ за якост, динамика, собствени честоти</w:t>
            </w:r>
          </w:p>
          <w:p w:rsidR="001C0856" w:rsidRPr="001C0856" w:rsidRDefault="001C0856" w:rsidP="00F93A57">
            <w:pPr>
              <w:pStyle w:val="NormalWeb"/>
              <w:numPr>
                <w:ilvl w:val="0"/>
                <w:numId w:val="4"/>
              </w:numPr>
              <w:spacing w:before="0" w:beforeAutospacing="0" w:after="0" w:afterAutospacing="0"/>
              <w:jc w:val="both"/>
              <w:rPr>
                <w:rFonts w:eastAsiaTheme="majorEastAsia"/>
                <w:bCs/>
                <w:lang w:val="bg-BG"/>
              </w:rPr>
            </w:pPr>
            <w:r w:rsidRPr="001C0856">
              <w:rPr>
                <w:rFonts w:eastAsiaTheme="majorEastAsia"/>
                <w:bCs/>
                <w:lang w:val="bg-BG"/>
              </w:rPr>
              <w:t>вибрации на поддържащи секции ≤ 0,5 mm/s RMS</w:t>
            </w:r>
          </w:p>
          <w:p w:rsidR="001C0856" w:rsidRPr="001C0856" w:rsidRDefault="001C0856" w:rsidP="00F93A57">
            <w:pPr>
              <w:pStyle w:val="NormalWeb"/>
              <w:numPr>
                <w:ilvl w:val="0"/>
                <w:numId w:val="4"/>
              </w:numPr>
              <w:spacing w:before="0" w:beforeAutospacing="0" w:after="0" w:afterAutospacing="0"/>
              <w:jc w:val="both"/>
              <w:rPr>
                <w:rFonts w:eastAsiaTheme="majorEastAsia"/>
                <w:bCs/>
                <w:lang w:val="bg-BG"/>
              </w:rPr>
            </w:pPr>
            <w:r w:rsidRPr="001C0856">
              <w:rPr>
                <w:rFonts w:eastAsiaTheme="majorEastAsia"/>
                <w:bCs/>
                <w:lang w:val="bg-BG"/>
              </w:rPr>
              <w:t>вибрации на вентилатор ≤ 2 mm/s RMS</w:t>
            </w:r>
          </w:p>
          <w:p w:rsidR="001C0856" w:rsidRPr="001C0856" w:rsidRDefault="001C0856" w:rsidP="00F93A57">
            <w:pPr>
              <w:pStyle w:val="NormalWeb"/>
              <w:spacing w:before="0" w:beforeAutospacing="0" w:after="0" w:afterAutospacing="0"/>
              <w:jc w:val="both"/>
              <w:rPr>
                <w:rFonts w:eastAsiaTheme="majorEastAsia"/>
                <w:b/>
                <w:bCs/>
                <w:lang w:val="bg-BG"/>
              </w:rPr>
            </w:pPr>
            <w:r w:rsidRPr="001C0856">
              <w:rPr>
                <w:rFonts w:eastAsiaTheme="majorEastAsia"/>
                <w:b/>
                <w:bCs/>
                <w:lang w:val="bg-BG"/>
              </w:rPr>
              <w:t>1.13. Ограничение на блокажа</w:t>
            </w:r>
          </w:p>
          <w:p w:rsidR="00852D24" w:rsidRDefault="001C0856" w:rsidP="00F93A57">
            <w:pPr>
              <w:pStyle w:val="NormalWeb"/>
              <w:spacing w:before="0" w:beforeAutospacing="0" w:after="0" w:afterAutospacing="0"/>
              <w:jc w:val="both"/>
              <w:rPr>
                <w:rStyle w:val="Strong"/>
                <w:rFonts w:eastAsiaTheme="majorEastAsia"/>
                <w:b w:val="0"/>
                <w:lang w:val="bg-BG"/>
              </w:rPr>
            </w:pPr>
            <w:r w:rsidRPr="001C0856">
              <w:rPr>
                <w:rFonts w:eastAsiaTheme="majorEastAsia"/>
                <w:bCs/>
                <w:lang w:val="bg-BG"/>
              </w:rPr>
              <w:t xml:space="preserve">Изпълнителят да предостави </w:t>
            </w:r>
            <w:proofErr w:type="spellStart"/>
            <w:r w:rsidRPr="001C0856">
              <w:rPr>
                <w:rFonts w:eastAsiaTheme="majorEastAsia"/>
                <w:bCs/>
                <w:lang w:val="bg-BG"/>
              </w:rPr>
              <w:t>блокажни</w:t>
            </w:r>
            <w:proofErr w:type="spellEnd"/>
            <w:r w:rsidRPr="001C0856">
              <w:rPr>
                <w:rFonts w:eastAsiaTheme="majorEastAsia"/>
                <w:bCs/>
                <w:lang w:val="bg-BG"/>
              </w:rPr>
              <w:t xml:space="preserve"> диаграми за корекция и да гарантира ≤5% блокаж.</w:t>
            </w:r>
          </w:p>
        </w:tc>
      </w:tr>
      <w:tr w:rsidR="001C0856"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2. Instrumentation and Measurement Equipment</w:t>
            </w:r>
          </w:p>
          <w:p w:rsidR="00160E44" w:rsidRDefault="00160E44" w:rsidP="00160E44">
            <w:pPr>
              <w:pStyle w:val="NormalWeb"/>
              <w:spacing w:before="0" w:beforeAutospacing="0" w:after="0" w:afterAutospacing="0"/>
              <w:jc w:val="both"/>
            </w:pPr>
            <w:r>
              <w:t>2.1. Two sets of flow-velocity sensors – after the contraction and in the test section, accuracy 0.1%.</w:t>
            </w:r>
          </w:p>
          <w:p w:rsidR="00160E44" w:rsidRDefault="00160E44" w:rsidP="00160E44">
            <w:pPr>
              <w:pStyle w:val="NormalWeb"/>
              <w:spacing w:before="0" w:beforeAutospacing="0" w:after="0" w:afterAutospacing="0"/>
              <w:jc w:val="both"/>
            </w:pPr>
            <w:r>
              <w:t>2.2. Air temperature inside the tunnel – accuracy 0.1%.</w:t>
            </w:r>
          </w:p>
          <w:p w:rsidR="00160E44" w:rsidRDefault="00160E44" w:rsidP="00160E44">
            <w:pPr>
              <w:pStyle w:val="NormalWeb"/>
              <w:spacing w:before="0" w:beforeAutospacing="0" w:after="0" w:afterAutospacing="0"/>
              <w:jc w:val="both"/>
            </w:pPr>
            <w:r>
              <w:t>2.3. Atmospheric pressure, temperature, and humidity sensors.</w:t>
            </w:r>
          </w:p>
          <w:p w:rsidR="00160E44" w:rsidRDefault="00160E44" w:rsidP="00160E44">
            <w:pPr>
              <w:pStyle w:val="NormalWeb"/>
              <w:spacing w:before="0" w:beforeAutospacing="0" w:after="0" w:afterAutospacing="0"/>
              <w:jc w:val="both"/>
            </w:pPr>
            <w:r>
              <w:t>2.4. Turntable rotation sensor with accuracy 1′.</w:t>
            </w:r>
          </w:p>
          <w:p w:rsidR="00160E44" w:rsidRDefault="00160E44" w:rsidP="00160E44">
            <w:pPr>
              <w:pStyle w:val="NormalWeb"/>
              <w:spacing w:before="0" w:beforeAutospacing="0" w:after="0" w:afterAutospacing="0"/>
              <w:jc w:val="both"/>
            </w:pPr>
            <w:r>
              <w:t>2.5. Drive RPM sensor with resolution 0.1 rev/min.</w:t>
            </w:r>
          </w:p>
          <w:p w:rsidR="00160E44" w:rsidRDefault="00160E44" w:rsidP="00160E44">
            <w:pPr>
              <w:pStyle w:val="NormalWeb"/>
              <w:spacing w:before="0" w:beforeAutospacing="0" w:after="0" w:afterAutospacing="0"/>
              <w:jc w:val="both"/>
            </w:pPr>
            <w:r>
              <w:t xml:space="preserve">2.6. Six-component strain-gauge force balance, minimum ranges: X ±500 N, Y ±500 N, Z ±1500 N, </w:t>
            </w:r>
            <w:proofErr w:type="spellStart"/>
            <w:r>
              <w:t>Mx</w:t>
            </w:r>
            <w:proofErr w:type="spellEnd"/>
            <w:r>
              <w:t xml:space="preserve">/My ±150 Nm, </w:t>
            </w:r>
            <w:proofErr w:type="spellStart"/>
            <w:r>
              <w:t>Mz</w:t>
            </w:r>
            <w:proofErr w:type="spellEnd"/>
            <w:r>
              <w:t xml:space="preserve"> ±80 Nm, accuracy 0.1%, cross-talk ≤1%.</w:t>
            </w:r>
          </w:p>
          <w:p w:rsidR="001C0856" w:rsidRDefault="00160E44" w:rsidP="00160E44">
            <w:pPr>
              <w:pStyle w:val="NormalWeb"/>
              <w:spacing w:before="0" w:beforeAutospacing="0" w:after="0" w:afterAutospacing="0"/>
              <w:jc w:val="both"/>
            </w:pPr>
            <w:r>
              <w:t>2.7. All measuring devices shall be delivered with factory certificates according to ISO/IEC 17025.</w:t>
            </w:r>
          </w:p>
        </w:tc>
        <w:tc>
          <w:tcPr>
            <w:tcW w:w="4698" w:type="dxa"/>
          </w:tcPr>
          <w:p w:rsidR="001C0856" w:rsidRPr="001C0856" w:rsidRDefault="001C0856" w:rsidP="001C0856">
            <w:pPr>
              <w:pStyle w:val="NormalWeb"/>
              <w:spacing w:before="0" w:beforeAutospacing="0" w:after="0" w:afterAutospacing="0"/>
              <w:jc w:val="both"/>
              <w:rPr>
                <w:rFonts w:eastAsiaTheme="majorEastAsia"/>
                <w:b/>
                <w:bCs/>
                <w:lang w:val="bg-BG"/>
              </w:rPr>
            </w:pPr>
            <w:r w:rsidRPr="001C0856">
              <w:rPr>
                <w:rFonts w:eastAsiaTheme="majorEastAsia"/>
                <w:b/>
                <w:bCs/>
                <w:lang w:val="bg-BG"/>
              </w:rPr>
              <w:t>2. Контролно-измервателно оборудване</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2.1. Два комплекта датчици за измерване на скоростта на потока– след </w:t>
            </w:r>
            <w:proofErr w:type="spellStart"/>
            <w:r w:rsidRPr="001C0856">
              <w:rPr>
                <w:rFonts w:eastAsiaTheme="majorEastAsia"/>
                <w:bCs/>
                <w:lang w:val="bg-BG"/>
              </w:rPr>
              <w:t>конфузора</w:t>
            </w:r>
            <w:proofErr w:type="spellEnd"/>
            <w:r w:rsidRPr="001C0856">
              <w:rPr>
                <w:rFonts w:eastAsiaTheme="majorEastAsia"/>
                <w:bCs/>
                <w:lang w:val="bg-BG"/>
              </w:rPr>
              <w:t xml:space="preserve"> и в работния участък, точност 0,1%.</w:t>
            </w:r>
            <w:r w:rsidRPr="001C0856">
              <w:rPr>
                <w:rFonts w:eastAsiaTheme="majorEastAsia"/>
                <w:bCs/>
                <w:lang w:val="bg-BG"/>
              </w:rPr>
              <w:br/>
              <w:t>2.2. Температура на въздуха в тръбата– точност 0,1%.</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2.3. Атмосферно налягане, температура и влажност на въздуха.</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2.4. Датчик за въртене на платформата  с точност 1‘.</w:t>
            </w:r>
            <w:r w:rsidRPr="001C0856">
              <w:rPr>
                <w:rFonts w:eastAsiaTheme="majorEastAsia"/>
                <w:bCs/>
                <w:lang w:val="bg-BG"/>
              </w:rPr>
              <w:br/>
              <w:t>2.5. Датчик за обороти на задвижванията  0,</w:t>
            </w:r>
            <w:r w:rsidRPr="001C0856">
              <w:rPr>
                <w:rFonts w:eastAsiaTheme="majorEastAsia"/>
                <w:bCs/>
              </w:rPr>
              <w:t>1</w:t>
            </w:r>
            <w:r w:rsidRPr="001C0856">
              <w:rPr>
                <w:rFonts w:eastAsiaTheme="majorEastAsia"/>
                <w:bCs/>
                <w:lang w:val="bg-BG"/>
              </w:rPr>
              <w:t xml:space="preserve"> </w:t>
            </w:r>
            <w:proofErr w:type="spellStart"/>
            <w:r w:rsidRPr="001C0856">
              <w:rPr>
                <w:rFonts w:eastAsiaTheme="majorEastAsia"/>
                <w:bCs/>
                <w:lang w:val="bg-BG"/>
              </w:rPr>
              <w:t>об</w:t>
            </w:r>
            <w:proofErr w:type="spellEnd"/>
            <w:r w:rsidRPr="001C0856">
              <w:rPr>
                <w:rFonts w:eastAsiaTheme="majorEastAsia"/>
                <w:bCs/>
                <w:lang w:val="bg-BG"/>
              </w:rPr>
              <w:t>/</w:t>
            </w:r>
            <w:r w:rsidRPr="001C0856">
              <w:rPr>
                <w:rFonts w:eastAsiaTheme="majorEastAsia"/>
                <w:bCs/>
              </w:rPr>
              <w:t>min</w:t>
            </w:r>
            <w:r w:rsidRPr="001C0856">
              <w:rPr>
                <w:rFonts w:eastAsiaTheme="majorEastAsia"/>
                <w:bCs/>
                <w:lang w:val="bg-BG"/>
              </w:rPr>
              <w:t xml:space="preserve">. </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2.6. 6-компонентен </w:t>
            </w:r>
            <w:proofErr w:type="spellStart"/>
            <w:r w:rsidRPr="001C0856">
              <w:rPr>
                <w:rFonts w:eastAsiaTheme="majorEastAsia"/>
                <w:bCs/>
                <w:lang w:val="bg-BG"/>
              </w:rPr>
              <w:t>тензометричен</w:t>
            </w:r>
            <w:proofErr w:type="spellEnd"/>
            <w:r w:rsidRPr="001C0856">
              <w:rPr>
                <w:rFonts w:eastAsiaTheme="majorEastAsia"/>
                <w:bCs/>
                <w:lang w:val="bg-BG"/>
              </w:rPr>
              <w:t xml:space="preserve"> </w:t>
            </w:r>
            <w:proofErr w:type="spellStart"/>
            <w:r w:rsidRPr="001C0856">
              <w:rPr>
                <w:rFonts w:eastAsiaTheme="majorEastAsia"/>
                <w:bCs/>
                <w:lang w:val="bg-BG"/>
              </w:rPr>
              <w:t>силоизмервателен</w:t>
            </w:r>
            <w:proofErr w:type="spellEnd"/>
            <w:r w:rsidRPr="001C0856">
              <w:rPr>
                <w:rFonts w:eastAsiaTheme="majorEastAsia"/>
                <w:bCs/>
                <w:lang w:val="bg-BG"/>
              </w:rPr>
              <w:t xml:space="preserve"> датчик: минимални диапазони X±500 N, Y±500 N, Z±1500 N, </w:t>
            </w:r>
            <w:proofErr w:type="spellStart"/>
            <w:r w:rsidRPr="001C0856">
              <w:rPr>
                <w:rFonts w:eastAsiaTheme="majorEastAsia"/>
                <w:bCs/>
                <w:lang w:val="bg-BG"/>
              </w:rPr>
              <w:t>Mx</w:t>
            </w:r>
            <w:proofErr w:type="spellEnd"/>
            <w:r w:rsidRPr="001C0856">
              <w:rPr>
                <w:rFonts w:eastAsiaTheme="majorEastAsia"/>
                <w:bCs/>
                <w:lang w:val="bg-BG"/>
              </w:rPr>
              <w:t xml:space="preserve">/My±150 </w:t>
            </w:r>
            <w:proofErr w:type="spellStart"/>
            <w:r w:rsidRPr="001C0856">
              <w:rPr>
                <w:rFonts w:eastAsiaTheme="majorEastAsia"/>
                <w:bCs/>
                <w:lang w:val="bg-BG"/>
              </w:rPr>
              <w:t>Nm</w:t>
            </w:r>
            <w:proofErr w:type="spellEnd"/>
            <w:r w:rsidRPr="001C0856">
              <w:rPr>
                <w:rFonts w:eastAsiaTheme="majorEastAsia"/>
                <w:bCs/>
                <w:lang w:val="bg-BG"/>
              </w:rPr>
              <w:t xml:space="preserve">, Mz±80 </w:t>
            </w:r>
            <w:proofErr w:type="spellStart"/>
            <w:r w:rsidRPr="001C0856">
              <w:rPr>
                <w:rFonts w:eastAsiaTheme="majorEastAsia"/>
                <w:bCs/>
                <w:lang w:val="bg-BG"/>
              </w:rPr>
              <w:t>Nm</w:t>
            </w:r>
            <w:proofErr w:type="spellEnd"/>
            <w:r w:rsidRPr="001C0856">
              <w:rPr>
                <w:rFonts w:eastAsiaTheme="majorEastAsia"/>
                <w:bCs/>
                <w:lang w:val="bg-BG"/>
              </w:rPr>
              <w:t>, точност 0,1%, взаимно влияние ≤1%..</w:t>
            </w:r>
          </w:p>
          <w:p w:rsidR="001C0856" w:rsidRPr="008903C4" w:rsidRDefault="001C0856" w:rsidP="001C0856">
            <w:pPr>
              <w:pStyle w:val="NormalWeb"/>
              <w:spacing w:before="0" w:beforeAutospacing="0" w:after="0" w:afterAutospacing="0"/>
              <w:jc w:val="both"/>
              <w:rPr>
                <w:rStyle w:val="Strong"/>
                <w:rFonts w:eastAsiaTheme="majorEastAsia"/>
                <w:b w:val="0"/>
                <w:lang w:val="bg-BG"/>
              </w:rPr>
            </w:pPr>
            <w:r w:rsidRPr="001C0856">
              <w:rPr>
                <w:rFonts w:eastAsiaTheme="majorEastAsia"/>
                <w:bCs/>
                <w:lang w:val="ru-RU"/>
              </w:rPr>
              <w:t xml:space="preserve">2.7. </w:t>
            </w:r>
            <w:r w:rsidRPr="001C0856">
              <w:rPr>
                <w:rFonts w:eastAsiaTheme="majorEastAsia"/>
                <w:bCs/>
                <w:lang w:val="bg-BG"/>
              </w:rPr>
              <w:t>Всички измервателни устройства трябва да бъдат доставени с фабрични сертификати по ISO/IEC 17025.</w:t>
            </w:r>
          </w:p>
        </w:tc>
      </w:tr>
      <w:tr w:rsidR="001C0856"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3. Power Supply and Control</w:t>
            </w:r>
          </w:p>
          <w:p w:rsidR="00160E44" w:rsidRDefault="00160E44" w:rsidP="00160E44">
            <w:pPr>
              <w:pStyle w:val="NormalWeb"/>
              <w:spacing w:before="0" w:beforeAutospacing="0" w:after="0" w:afterAutospacing="0"/>
              <w:jc w:val="both"/>
            </w:pPr>
            <w:r>
              <w:t>3.1. Power supply 400V / 50 Hz / TN-S</w:t>
            </w:r>
          </w:p>
          <w:p w:rsidR="00160E44" w:rsidRDefault="00160E44" w:rsidP="00160E44">
            <w:pPr>
              <w:pStyle w:val="NormalWeb"/>
              <w:spacing w:before="0" w:beforeAutospacing="0" w:after="0" w:afterAutospacing="0"/>
              <w:jc w:val="both"/>
            </w:pPr>
            <w:r>
              <w:t>3.2. Ambient operating conditions</w:t>
            </w:r>
          </w:p>
          <w:p w:rsidR="00160E44" w:rsidRDefault="00160E44" w:rsidP="00160E44">
            <w:pPr>
              <w:pStyle w:val="NormalWeb"/>
              <w:spacing w:before="0" w:beforeAutospacing="0" w:after="0" w:afterAutospacing="0"/>
              <w:jc w:val="both"/>
            </w:pPr>
            <w:r>
              <w:t>Temperature 1–40°C, humidity &lt;95%, non-condensing.</w:t>
            </w:r>
          </w:p>
          <w:p w:rsidR="00160E44" w:rsidRDefault="00160E44" w:rsidP="00160E44">
            <w:pPr>
              <w:pStyle w:val="NormalWeb"/>
              <w:spacing w:before="0" w:beforeAutospacing="0" w:after="0" w:afterAutospacing="0"/>
              <w:jc w:val="both"/>
            </w:pPr>
            <w:r>
              <w:t>3.3. Drive system</w:t>
            </w:r>
          </w:p>
          <w:p w:rsidR="00160E44" w:rsidRDefault="00160E44" w:rsidP="00160E44">
            <w:pPr>
              <w:pStyle w:val="NormalWeb"/>
              <w:spacing w:before="0" w:beforeAutospacing="0" w:after="0" w:afterAutospacing="0"/>
              <w:jc w:val="both"/>
            </w:pPr>
            <w:r>
              <w:t>• Power ≥110 kW, IE3 class or better</w:t>
            </w:r>
          </w:p>
          <w:p w:rsidR="00160E44" w:rsidRDefault="00160E44" w:rsidP="00160E44">
            <w:pPr>
              <w:pStyle w:val="NormalWeb"/>
              <w:spacing w:before="0" w:beforeAutospacing="0" w:after="0" w:afterAutospacing="0"/>
              <w:jc w:val="both"/>
            </w:pPr>
            <w:r>
              <w:t>• Ability to achieve 30 m/s with 15% power reserve</w:t>
            </w:r>
          </w:p>
          <w:p w:rsidR="00160E44" w:rsidRDefault="00160E44" w:rsidP="00160E44">
            <w:pPr>
              <w:pStyle w:val="NormalWeb"/>
              <w:spacing w:before="0" w:beforeAutospacing="0" w:after="0" w:afterAutospacing="0"/>
              <w:jc w:val="both"/>
            </w:pPr>
            <w:r>
              <w:t>• Power factor PF ≥ 0.9</w:t>
            </w:r>
          </w:p>
          <w:p w:rsidR="00160E44" w:rsidRDefault="00160E44" w:rsidP="00160E44">
            <w:pPr>
              <w:pStyle w:val="NormalWeb"/>
              <w:spacing w:before="0" w:beforeAutospacing="0" w:after="0" w:afterAutospacing="0"/>
              <w:jc w:val="both"/>
            </w:pPr>
            <w:r>
              <w:t>3.4. The power and control system shall be protected against power surges and short interruptions.</w:t>
            </w:r>
          </w:p>
          <w:p w:rsidR="00160E44" w:rsidRDefault="00160E44" w:rsidP="00160E44">
            <w:pPr>
              <w:pStyle w:val="NormalWeb"/>
              <w:spacing w:before="0" w:beforeAutospacing="0" w:after="0" w:afterAutospacing="0"/>
              <w:jc w:val="both"/>
            </w:pPr>
            <w:r>
              <w:t>3.5. Heating shall be provided for condensation-sensitive equipment when the tunnel is not in use.</w:t>
            </w:r>
          </w:p>
          <w:p w:rsidR="00160E44" w:rsidRDefault="00160E44" w:rsidP="00160E44">
            <w:pPr>
              <w:pStyle w:val="NormalWeb"/>
              <w:spacing w:before="0" w:beforeAutospacing="0" w:after="0" w:afterAutospacing="0"/>
              <w:jc w:val="both"/>
            </w:pPr>
            <w:r>
              <w:t>3.6. Cabinet lighting and one “Schuko” socket per cabinet shall be provided.</w:t>
            </w:r>
          </w:p>
          <w:p w:rsidR="00160E44" w:rsidRDefault="00160E44" w:rsidP="00160E44">
            <w:pPr>
              <w:pStyle w:val="NormalWeb"/>
              <w:spacing w:before="0" w:beforeAutospacing="0" w:after="0" w:afterAutospacing="0"/>
              <w:jc w:val="both"/>
            </w:pPr>
            <w:r>
              <w:t>3.7. Compliance with CE, Directive 2006/42/EC, 2014/30/EU, 2014/35/EU.</w:t>
            </w:r>
          </w:p>
          <w:p w:rsidR="00160E44" w:rsidRDefault="00160E44" w:rsidP="00160E44">
            <w:pPr>
              <w:pStyle w:val="NormalWeb"/>
              <w:spacing w:before="0" w:beforeAutospacing="0" w:after="0" w:afterAutospacing="0"/>
              <w:jc w:val="both"/>
            </w:pPr>
            <w:r>
              <w:t>3.8. All control and communication components shall be industrial grade.</w:t>
            </w:r>
          </w:p>
          <w:p w:rsidR="00160E44" w:rsidRDefault="00160E44" w:rsidP="00160E44">
            <w:pPr>
              <w:pStyle w:val="NormalWeb"/>
              <w:spacing w:before="0" w:beforeAutospacing="0" w:after="0" w:afterAutospacing="0"/>
              <w:jc w:val="both"/>
            </w:pPr>
            <w:r>
              <w:t>3.9. The equipment shall comply with IEC 61131.</w:t>
            </w:r>
          </w:p>
          <w:p w:rsidR="00160E44" w:rsidRDefault="00160E44" w:rsidP="00160E44">
            <w:pPr>
              <w:pStyle w:val="NormalWeb"/>
              <w:spacing w:before="0" w:beforeAutospacing="0" w:after="0" w:afterAutospacing="0"/>
              <w:jc w:val="both"/>
            </w:pPr>
            <w:r>
              <w:t>3.10. The control console shall be mobile and placed near the test section.</w:t>
            </w:r>
          </w:p>
          <w:p w:rsidR="00160E44" w:rsidRDefault="00160E44" w:rsidP="00160E44">
            <w:pPr>
              <w:pStyle w:val="NormalWeb"/>
              <w:spacing w:before="0" w:beforeAutospacing="0" w:after="0" w:afterAutospacing="0"/>
              <w:jc w:val="both"/>
            </w:pPr>
            <w:r>
              <w:t>3.11. The control system for the tunnel and the turntable shall connect to the local computer network and shall have a digital input for synchronization of communication, data exchange, and commands.</w:t>
            </w:r>
          </w:p>
          <w:p w:rsidR="00160E44" w:rsidRDefault="00160E44" w:rsidP="00160E44">
            <w:pPr>
              <w:pStyle w:val="NormalWeb"/>
              <w:spacing w:before="0" w:beforeAutospacing="0" w:after="0" w:afterAutospacing="0"/>
              <w:jc w:val="both"/>
            </w:pPr>
            <w:r>
              <w:t>3.12. The drive shall allow smooth speed adjustment with 0.1 m/s step in the range 3 m/s (preferably 2 m/s) to 30 m/s.</w:t>
            </w:r>
          </w:p>
          <w:p w:rsidR="001C0856" w:rsidRDefault="00160E44" w:rsidP="00160E44">
            <w:pPr>
              <w:pStyle w:val="NormalWeb"/>
              <w:spacing w:before="0" w:beforeAutospacing="0" w:after="0" w:afterAutospacing="0"/>
              <w:jc w:val="both"/>
            </w:pPr>
            <w:r>
              <w:t>The control system shall regulate speed with accuracy ±0.1 m/s or ±1% of the setpoint (whichever is greater).</w:t>
            </w:r>
          </w:p>
        </w:tc>
        <w:tc>
          <w:tcPr>
            <w:tcW w:w="4698" w:type="dxa"/>
          </w:tcPr>
          <w:p w:rsidR="001C0856" w:rsidRPr="001C0856" w:rsidRDefault="001C0856" w:rsidP="001C0856">
            <w:pPr>
              <w:pStyle w:val="NormalWeb"/>
              <w:spacing w:before="0" w:beforeAutospacing="0" w:after="0" w:afterAutospacing="0"/>
              <w:jc w:val="both"/>
              <w:rPr>
                <w:rFonts w:eastAsiaTheme="majorEastAsia"/>
                <w:b/>
                <w:bCs/>
                <w:lang w:val="bg-BG"/>
              </w:rPr>
            </w:pPr>
            <w:r w:rsidRPr="001C0856">
              <w:rPr>
                <w:rFonts w:eastAsiaTheme="majorEastAsia"/>
                <w:b/>
                <w:bCs/>
                <w:lang w:val="bg-BG"/>
              </w:rPr>
              <w:t>3. Захранване и управление</w:t>
            </w:r>
          </w:p>
          <w:p w:rsidR="001C0856" w:rsidRPr="001C0856" w:rsidRDefault="001C0856" w:rsidP="001C0856">
            <w:pPr>
              <w:pStyle w:val="NormalWeb"/>
              <w:spacing w:before="0" w:beforeAutospacing="0" w:after="0" w:afterAutospacing="0"/>
              <w:jc w:val="both"/>
              <w:rPr>
                <w:rFonts w:eastAsiaTheme="majorEastAsia"/>
                <w:bCs/>
              </w:rPr>
            </w:pPr>
            <w:r w:rsidRPr="001C0856">
              <w:rPr>
                <w:rFonts w:eastAsiaTheme="majorEastAsia"/>
                <w:bCs/>
                <w:lang w:val="bg-BG"/>
              </w:rPr>
              <w:t xml:space="preserve">3.1. Захранване 400V/50 </w:t>
            </w:r>
            <w:proofErr w:type="spellStart"/>
            <w:r w:rsidRPr="001C0856">
              <w:rPr>
                <w:rFonts w:eastAsiaTheme="majorEastAsia"/>
                <w:bCs/>
                <w:lang w:val="bg-BG"/>
              </w:rPr>
              <w:t>Hz</w:t>
            </w:r>
            <w:proofErr w:type="spellEnd"/>
            <w:r w:rsidRPr="001C0856">
              <w:rPr>
                <w:rFonts w:eastAsiaTheme="majorEastAsia"/>
                <w:bCs/>
                <w:lang w:val="bg-BG"/>
              </w:rPr>
              <w:t>/</w:t>
            </w:r>
            <w:r w:rsidRPr="001C0856">
              <w:rPr>
                <w:rFonts w:eastAsiaTheme="majorEastAsia"/>
                <w:bCs/>
              </w:rPr>
              <w:t>TN-S</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3.2. Околна работна температура 1–40°C,  Влажност &lt;95%. </w:t>
            </w:r>
            <w:proofErr w:type="spellStart"/>
            <w:r w:rsidRPr="001C0856">
              <w:rPr>
                <w:rFonts w:eastAsiaTheme="majorEastAsia"/>
                <w:bCs/>
                <w:lang w:val="bg-BG"/>
              </w:rPr>
              <w:t>некондензирана</w:t>
            </w:r>
            <w:proofErr w:type="spellEnd"/>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3.3. Задвижване</w:t>
            </w:r>
          </w:p>
          <w:p w:rsidR="001C0856" w:rsidRPr="001C0856" w:rsidRDefault="001C0856" w:rsidP="001C0856">
            <w:pPr>
              <w:pStyle w:val="NormalWeb"/>
              <w:numPr>
                <w:ilvl w:val="0"/>
                <w:numId w:val="5"/>
              </w:numPr>
              <w:spacing w:before="0" w:beforeAutospacing="0" w:after="0" w:afterAutospacing="0"/>
              <w:jc w:val="both"/>
              <w:rPr>
                <w:rFonts w:eastAsiaTheme="majorEastAsia"/>
                <w:bCs/>
                <w:lang w:val="bg-BG"/>
              </w:rPr>
            </w:pPr>
            <w:r w:rsidRPr="001C0856">
              <w:rPr>
                <w:rFonts w:eastAsiaTheme="majorEastAsia"/>
                <w:bCs/>
                <w:lang w:val="bg-BG"/>
              </w:rPr>
              <w:t xml:space="preserve">Мощност ≥110 </w:t>
            </w:r>
            <w:proofErr w:type="spellStart"/>
            <w:r w:rsidRPr="001C0856">
              <w:rPr>
                <w:rFonts w:eastAsiaTheme="majorEastAsia"/>
                <w:bCs/>
                <w:lang w:val="bg-BG"/>
              </w:rPr>
              <w:t>kW</w:t>
            </w:r>
            <w:proofErr w:type="spellEnd"/>
            <w:r w:rsidRPr="001C0856">
              <w:rPr>
                <w:rFonts w:eastAsiaTheme="majorEastAsia"/>
                <w:bCs/>
                <w:lang w:val="bg-BG"/>
              </w:rPr>
              <w:t>, клас IE3 или по-добър.</w:t>
            </w:r>
          </w:p>
          <w:p w:rsidR="001C0856" w:rsidRPr="001C0856" w:rsidRDefault="001C0856" w:rsidP="001C0856">
            <w:pPr>
              <w:pStyle w:val="NormalWeb"/>
              <w:numPr>
                <w:ilvl w:val="0"/>
                <w:numId w:val="5"/>
              </w:numPr>
              <w:spacing w:before="0" w:beforeAutospacing="0" w:after="0" w:afterAutospacing="0"/>
              <w:jc w:val="both"/>
              <w:rPr>
                <w:rFonts w:eastAsiaTheme="majorEastAsia"/>
                <w:bCs/>
                <w:lang w:val="bg-BG"/>
              </w:rPr>
            </w:pPr>
            <w:r w:rsidRPr="001C0856">
              <w:rPr>
                <w:rFonts w:eastAsiaTheme="majorEastAsia"/>
                <w:bCs/>
                <w:lang w:val="bg-BG"/>
              </w:rPr>
              <w:t>Осигуряване 30 m/s с 15% резерв.</w:t>
            </w:r>
          </w:p>
          <w:p w:rsidR="001C0856" w:rsidRPr="001C0856" w:rsidRDefault="001C0856" w:rsidP="001C0856">
            <w:pPr>
              <w:pStyle w:val="NormalWeb"/>
              <w:numPr>
                <w:ilvl w:val="0"/>
                <w:numId w:val="5"/>
              </w:numPr>
              <w:spacing w:before="0" w:beforeAutospacing="0" w:after="0" w:afterAutospacing="0"/>
              <w:jc w:val="both"/>
              <w:rPr>
                <w:rFonts w:eastAsiaTheme="majorEastAsia"/>
                <w:bCs/>
                <w:lang w:val="bg-BG"/>
              </w:rPr>
            </w:pPr>
            <w:r w:rsidRPr="001C0856">
              <w:rPr>
                <w:rFonts w:eastAsiaTheme="majorEastAsia"/>
                <w:bCs/>
                <w:lang w:val="bg-BG"/>
              </w:rPr>
              <w:t>Фактор на мощността PF ≥ 0,9.</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3.4.</w:t>
            </w:r>
            <w:r w:rsidRPr="001C0856">
              <w:rPr>
                <w:rFonts w:eastAsiaTheme="majorEastAsia"/>
                <w:bCs/>
                <w:lang w:val="bg-BG"/>
              </w:rPr>
              <w:tab/>
              <w:t xml:space="preserve"> Системата за захранване и управление да се проектират така, че да са защитени от токови удари и кратковременни прекъсвания на захранването.</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3.5.</w:t>
            </w:r>
            <w:r w:rsidRPr="001C0856">
              <w:rPr>
                <w:rFonts w:eastAsiaTheme="majorEastAsia"/>
                <w:bCs/>
                <w:lang w:val="bg-BG"/>
              </w:rPr>
              <w:tab/>
              <w:t xml:space="preserve"> Да се предвиди отопление на оборудването чувствително към </w:t>
            </w:r>
            <w:proofErr w:type="spellStart"/>
            <w:r w:rsidRPr="001C0856">
              <w:rPr>
                <w:rFonts w:eastAsiaTheme="majorEastAsia"/>
                <w:bCs/>
                <w:lang w:val="bg-BG"/>
              </w:rPr>
              <w:t>конденз</w:t>
            </w:r>
            <w:proofErr w:type="spellEnd"/>
            <w:r w:rsidRPr="001C0856">
              <w:rPr>
                <w:rFonts w:eastAsiaTheme="majorEastAsia"/>
                <w:bCs/>
                <w:lang w:val="bg-BG"/>
              </w:rPr>
              <w:t>, което да работи тръбата не се ползва.</w:t>
            </w:r>
          </w:p>
          <w:p w:rsidR="001C0856" w:rsidRPr="001C0856" w:rsidRDefault="001C0856" w:rsidP="001C0856">
            <w:pPr>
              <w:pStyle w:val="NormalWeb"/>
              <w:spacing w:before="0" w:beforeAutospacing="0" w:after="0" w:afterAutospacing="0"/>
              <w:jc w:val="both"/>
              <w:rPr>
                <w:rFonts w:eastAsiaTheme="majorEastAsia"/>
                <w:bCs/>
              </w:rPr>
            </w:pPr>
            <w:r w:rsidRPr="001C0856">
              <w:rPr>
                <w:rFonts w:eastAsiaTheme="majorEastAsia"/>
                <w:bCs/>
                <w:lang w:val="bg-BG"/>
              </w:rPr>
              <w:t>3.6.</w:t>
            </w:r>
            <w:r w:rsidRPr="001C0856">
              <w:rPr>
                <w:rFonts w:eastAsiaTheme="majorEastAsia"/>
                <w:bCs/>
                <w:lang w:val="bg-BG"/>
              </w:rPr>
              <w:tab/>
              <w:t xml:space="preserve"> Да се предвиди осветление в шкафовете и по един контакт тип „шуко“.</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3.7.  Съответствие с CE, Директива 2006/42/EC, 2014/30/EU, 2014/35/EU.</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3.8.</w:t>
            </w:r>
            <w:r w:rsidRPr="001C0856">
              <w:rPr>
                <w:rFonts w:eastAsiaTheme="majorEastAsia"/>
                <w:bCs/>
                <w:lang w:val="bg-BG"/>
              </w:rPr>
              <w:tab/>
              <w:t xml:space="preserve"> Всички използвани компоненти в системите за управление и комуникация, да са промишлено изпълнение.</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3.9.</w:t>
            </w:r>
            <w:r w:rsidRPr="001C0856">
              <w:rPr>
                <w:rFonts w:eastAsiaTheme="majorEastAsia"/>
                <w:bCs/>
                <w:lang w:val="bg-BG"/>
              </w:rPr>
              <w:tab/>
              <w:t xml:space="preserve"> Съоръжението да отговаря на стандарт IEC61131.  </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3.10.</w:t>
            </w:r>
            <w:r w:rsidRPr="001C0856">
              <w:rPr>
                <w:rFonts w:eastAsiaTheme="majorEastAsia"/>
                <w:bCs/>
                <w:lang w:val="bg-BG"/>
              </w:rPr>
              <w:tab/>
              <w:t xml:space="preserve"> Пултът за управление да е подвижен и разположен в близост до работния участък.</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 xml:space="preserve">3.11. Управлението на тръбата и платформата трябва да може да се свързва към локална компютърната мрежа и да има цифров вход за начална синхронизация на комуникацията  за обмен на данни и команди. </w:t>
            </w:r>
          </w:p>
          <w:p w:rsidR="001C0856" w:rsidRPr="008903C4" w:rsidRDefault="001C0856" w:rsidP="001C0856">
            <w:pPr>
              <w:pStyle w:val="NormalWeb"/>
              <w:spacing w:before="0" w:beforeAutospacing="0" w:after="0" w:afterAutospacing="0"/>
              <w:jc w:val="both"/>
              <w:rPr>
                <w:rStyle w:val="Strong"/>
                <w:rFonts w:eastAsiaTheme="majorEastAsia"/>
                <w:b w:val="0"/>
                <w:lang w:val="bg-BG"/>
              </w:rPr>
            </w:pPr>
            <w:r w:rsidRPr="001C0856">
              <w:rPr>
                <w:rFonts w:eastAsiaTheme="majorEastAsia"/>
                <w:bCs/>
                <w:lang w:val="bg-BG"/>
              </w:rPr>
              <w:t>3.12. Задвижването на тръбата да има възможност за плавна промяна на скоростта със стъпка 0,1 m/s  в диапазона 3 m/s (за предпочитане 2 m/s) – 30 m/s в работния участък. Системата за управление трябва да регулира скоростта в целия диапазон с точност в стационарно състояние ±0,1 m/s или ±1% от зададената стойност (което от двете е по-голямо).</w:t>
            </w:r>
          </w:p>
        </w:tc>
      </w:tr>
      <w:tr w:rsidR="001C0856"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4. Software</w:t>
            </w:r>
          </w:p>
          <w:p w:rsidR="00160E44" w:rsidRDefault="00160E44" w:rsidP="00160E44">
            <w:pPr>
              <w:pStyle w:val="NormalWeb"/>
              <w:spacing w:before="0" w:beforeAutospacing="0" w:after="0" w:afterAutospacing="0"/>
              <w:jc w:val="both"/>
            </w:pPr>
            <w:r>
              <w:t>4.1. Control shall be possible by setting RPM or by setting flow speed.</w:t>
            </w:r>
          </w:p>
          <w:p w:rsidR="00160E44" w:rsidRDefault="00160E44" w:rsidP="00160E44">
            <w:pPr>
              <w:pStyle w:val="NormalWeb"/>
              <w:spacing w:before="0" w:beforeAutospacing="0" w:after="0" w:afterAutospacing="0"/>
              <w:jc w:val="both"/>
            </w:pPr>
            <w:r>
              <w:t>4.2. Up to 10 predefined scenarios for changing drive parameters (RPM or speed) and turntable angle shall be available, selectable by operator command or computer program.</w:t>
            </w:r>
          </w:p>
          <w:p w:rsidR="00160E44" w:rsidRDefault="00160E44" w:rsidP="00160E44">
            <w:pPr>
              <w:pStyle w:val="NormalWeb"/>
              <w:spacing w:before="0" w:beforeAutospacing="0" w:after="0" w:afterAutospacing="0"/>
              <w:jc w:val="both"/>
            </w:pPr>
            <w:r>
              <w:t>4.3. The communication protocol, data formats, command formats, and exchange rates with the Contracting Authority’s LabView program shall be coordinated at the design stage.</w:t>
            </w:r>
          </w:p>
          <w:p w:rsidR="001C0856" w:rsidRDefault="00160E44" w:rsidP="00160E44">
            <w:pPr>
              <w:pStyle w:val="NormalWeb"/>
              <w:spacing w:before="0" w:beforeAutospacing="0" w:after="0" w:afterAutospacing="0"/>
              <w:jc w:val="both"/>
            </w:pPr>
            <w:r>
              <w:t>4.4. Remote diagnostics and software upgrade capability shall be provided.</w:t>
            </w:r>
          </w:p>
        </w:tc>
        <w:tc>
          <w:tcPr>
            <w:tcW w:w="4698" w:type="dxa"/>
          </w:tcPr>
          <w:p w:rsidR="001C0856" w:rsidRPr="001C0856" w:rsidRDefault="001C0856" w:rsidP="001C0856">
            <w:pPr>
              <w:pStyle w:val="NormalWeb"/>
              <w:spacing w:before="0" w:beforeAutospacing="0" w:after="0" w:afterAutospacing="0"/>
              <w:jc w:val="both"/>
              <w:rPr>
                <w:rFonts w:eastAsiaTheme="majorEastAsia"/>
                <w:b/>
                <w:bCs/>
                <w:lang w:val="bg-BG"/>
              </w:rPr>
            </w:pPr>
            <w:r w:rsidRPr="001C0856">
              <w:rPr>
                <w:rFonts w:eastAsiaTheme="majorEastAsia"/>
                <w:b/>
                <w:bCs/>
                <w:lang w:val="bg-BG"/>
              </w:rPr>
              <w:t>4. Софтуер</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4.1. Управлението да е по зададени обороти на задвижването или по зададена скорост на потока.</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4.2.  Да се предвиди възможност за задаване до 10  задания за промяна на параметрите на задвижванията (обороти или скорост)  и ъгъл на платформата, които да се избират по команда, зададена от оператора или от компютърна програма.</w:t>
            </w:r>
          </w:p>
          <w:p w:rsidR="001C0856" w:rsidRPr="001C0856" w:rsidRDefault="001C0856" w:rsidP="001C0856">
            <w:pPr>
              <w:pStyle w:val="NormalWeb"/>
              <w:spacing w:before="0" w:beforeAutospacing="0" w:after="0" w:afterAutospacing="0"/>
              <w:jc w:val="both"/>
              <w:rPr>
                <w:rFonts w:eastAsiaTheme="majorEastAsia"/>
                <w:bCs/>
                <w:lang w:val="bg-BG"/>
              </w:rPr>
            </w:pPr>
            <w:r w:rsidRPr="001C0856">
              <w:rPr>
                <w:rFonts w:eastAsiaTheme="majorEastAsia"/>
                <w:bCs/>
                <w:lang w:val="bg-BG"/>
              </w:rPr>
              <w:t>4.3. Комуникацията и протокола вида, обема, формата данни и команди</w:t>
            </w:r>
            <w:r w:rsidRPr="001C0856">
              <w:rPr>
                <w:rFonts w:eastAsiaTheme="majorEastAsia"/>
                <w:bCs/>
              </w:rPr>
              <w:t>,</w:t>
            </w:r>
            <w:r w:rsidRPr="001C0856">
              <w:rPr>
                <w:rFonts w:eastAsiaTheme="majorEastAsia"/>
                <w:bCs/>
                <w:lang w:val="bg-BG"/>
              </w:rPr>
              <w:t xml:space="preserve"> както и скоростта за обмен с програма на Възложителя (на </w:t>
            </w:r>
            <w:proofErr w:type="spellStart"/>
            <w:r w:rsidRPr="001C0856">
              <w:rPr>
                <w:rFonts w:eastAsiaTheme="majorEastAsia"/>
                <w:bCs/>
                <w:lang w:val="bg-BG"/>
              </w:rPr>
              <w:t>LabView</w:t>
            </w:r>
            <w:proofErr w:type="spellEnd"/>
            <w:r w:rsidRPr="001C0856">
              <w:rPr>
                <w:rFonts w:eastAsiaTheme="majorEastAsia"/>
                <w:bCs/>
                <w:lang w:val="bg-BG"/>
              </w:rPr>
              <w:t>) да се съгласува на етап проектиране.</w:t>
            </w:r>
          </w:p>
          <w:p w:rsidR="001C0856" w:rsidRPr="008903C4" w:rsidRDefault="001C0856" w:rsidP="001C0856">
            <w:pPr>
              <w:pStyle w:val="NormalWeb"/>
              <w:spacing w:before="0" w:beforeAutospacing="0" w:after="0" w:afterAutospacing="0"/>
              <w:jc w:val="both"/>
              <w:rPr>
                <w:rStyle w:val="Strong"/>
                <w:rFonts w:eastAsiaTheme="majorEastAsia"/>
                <w:b w:val="0"/>
                <w:lang w:val="bg-BG"/>
              </w:rPr>
            </w:pPr>
            <w:r w:rsidRPr="001C0856">
              <w:rPr>
                <w:rFonts w:eastAsiaTheme="majorEastAsia"/>
                <w:bCs/>
                <w:lang w:val="bg-BG"/>
              </w:rPr>
              <w:t>4.4. Да се предвиди възможност за дистанционна диагностика на системата за задвижване и управление и ъпгрейд на софтуера.</w:t>
            </w:r>
          </w:p>
        </w:tc>
      </w:tr>
      <w:tr w:rsidR="001C0856"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5. Documentation</w:t>
            </w:r>
          </w:p>
          <w:p w:rsidR="00160E44" w:rsidRDefault="00160E44" w:rsidP="00160E44">
            <w:pPr>
              <w:pStyle w:val="NormalWeb"/>
              <w:spacing w:before="0" w:beforeAutospacing="0" w:after="0" w:afterAutospacing="0"/>
              <w:jc w:val="both"/>
            </w:pPr>
            <w:r>
              <w:t>In 2 hard copies and electronically:</w:t>
            </w:r>
          </w:p>
          <w:p w:rsidR="00160E44" w:rsidRDefault="00160E44" w:rsidP="00160E44">
            <w:pPr>
              <w:pStyle w:val="NormalWeb"/>
              <w:numPr>
                <w:ilvl w:val="0"/>
                <w:numId w:val="11"/>
              </w:numPr>
              <w:spacing w:before="0" w:beforeAutospacing="0" w:after="0" w:afterAutospacing="0"/>
              <w:jc w:val="both"/>
            </w:pPr>
            <w:r>
              <w:t>construction documentation</w:t>
            </w:r>
          </w:p>
          <w:p w:rsidR="00160E44" w:rsidRDefault="00160E44" w:rsidP="00160E44">
            <w:pPr>
              <w:pStyle w:val="NormalWeb"/>
              <w:numPr>
                <w:ilvl w:val="0"/>
                <w:numId w:val="11"/>
              </w:numPr>
              <w:spacing w:before="0" w:beforeAutospacing="0" w:after="0" w:afterAutospacing="0"/>
              <w:jc w:val="both"/>
            </w:pPr>
            <w:r>
              <w:t>electrical diagrams</w:t>
            </w:r>
          </w:p>
          <w:p w:rsidR="00160E44" w:rsidRDefault="00160E44" w:rsidP="00160E44">
            <w:pPr>
              <w:pStyle w:val="NormalWeb"/>
              <w:numPr>
                <w:ilvl w:val="0"/>
                <w:numId w:val="11"/>
              </w:numPr>
              <w:spacing w:before="0" w:beforeAutospacing="0" w:after="0" w:afterAutospacing="0"/>
              <w:jc w:val="both"/>
            </w:pPr>
            <w:r>
              <w:t>factory documentation and certificates of delivered equipment and measuring instruments</w:t>
            </w:r>
          </w:p>
          <w:p w:rsidR="00160E44" w:rsidRDefault="00160E44" w:rsidP="00160E44">
            <w:pPr>
              <w:pStyle w:val="NormalWeb"/>
              <w:numPr>
                <w:ilvl w:val="0"/>
                <w:numId w:val="11"/>
              </w:numPr>
              <w:spacing w:before="0" w:beforeAutospacing="0" w:after="0" w:afterAutospacing="0"/>
              <w:jc w:val="both"/>
            </w:pPr>
            <w:r>
              <w:t>manuals (operation, maintenance, repair)</w:t>
            </w:r>
          </w:p>
          <w:p w:rsidR="00160E44" w:rsidRDefault="00160E44" w:rsidP="00160E44">
            <w:pPr>
              <w:pStyle w:val="NormalWeb"/>
              <w:numPr>
                <w:ilvl w:val="0"/>
                <w:numId w:val="11"/>
              </w:numPr>
              <w:spacing w:before="0" w:beforeAutospacing="0" w:after="0" w:afterAutospacing="0"/>
              <w:jc w:val="both"/>
            </w:pPr>
            <w:r>
              <w:t>software description and state-diagrams</w:t>
            </w:r>
          </w:p>
          <w:p w:rsidR="00160E44" w:rsidRDefault="00160E44" w:rsidP="00160E44">
            <w:pPr>
              <w:pStyle w:val="NormalWeb"/>
              <w:numPr>
                <w:ilvl w:val="0"/>
                <w:numId w:val="11"/>
              </w:numPr>
              <w:spacing w:before="0" w:beforeAutospacing="0" w:after="0" w:afterAutospacing="0"/>
              <w:jc w:val="both"/>
            </w:pPr>
            <w:r>
              <w:t>the software project shall be provided without protection</w:t>
            </w:r>
          </w:p>
          <w:p w:rsidR="00160E44" w:rsidRDefault="00160E44" w:rsidP="00160E44">
            <w:pPr>
              <w:pStyle w:val="NormalWeb"/>
              <w:numPr>
                <w:ilvl w:val="0"/>
                <w:numId w:val="11"/>
              </w:numPr>
              <w:spacing w:before="0" w:beforeAutospacing="0" w:after="0" w:afterAutospacing="0"/>
              <w:jc w:val="both"/>
            </w:pPr>
            <w:r>
              <w:t>all passwords, PIN codes, and settings shall be listed</w:t>
            </w:r>
          </w:p>
          <w:p w:rsidR="001C0856" w:rsidRDefault="00160E44" w:rsidP="00160E44">
            <w:pPr>
              <w:pStyle w:val="NormalWeb"/>
              <w:numPr>
                <w:ilvl w:val="0"/>
                <w:numId w:val="13"/>
              </w:numPr>
              <w:spacing w:before="0" w:beforeAutospacing="0" w:after="0" w:afterAutospacing="0"/>
              <w:jc w:val="both"/>
            </w:pPr>
            <w:r>
              <w:t>• results of the basic structural analysis: strength, dynamics, natural frequencies</w:t>
            </w:r>
          </w:p>
        </w:tc>
        <w:tc>
          <w:tcPr>
            <w:tcW w:w="4698" w:type="dxa"/>
          </w:tcPr>
          <w:p w:rsidR="009A1B77" w:rsidRPr="009A1B77" w:rsidRDefault="009A1B77" w:rsidP="009A1B77">
            <w:pPr>
              <w:pStyle w:val="NormalWeb"/>
              <w:spacing w:before="0" w:beforeAutospacing="0" w:after="0" w:afterAutospacing="0"/>
              <w:jc w:val="both"/>
              <w:rPr>
                <w:rFonts w:eastAsiaTheme="majorEastAsia"/>
                <w:b/>
                <w:bCs/>
                <w:lang w:val="bg-BG"/>
              </w:rPr>
            </w:pPr>
            <w:r w:rsidRPr="009A1B77">
              <w:rPr>
                <w:rFonts w:eastAsiaTheme="majorEastAsia"/>
                <w:b/>
                <w:bCs/>
                <w:lang w:val="bg-BG"/>
              </w:rPr>
              <w:t>5. Документация</w:t>
            </w:r>
          </w:p>
          <w:p w:rsidR="009A1B77" w:rsidRPr="009A1B77" w:rsidRDefault="009A1B77" w:rsidP="009A1B77">
            <w:pPr>
              <w:pStyle w:val="NormalWeb"/>
              <w:spacing w:before="0" w:beforeAutospacing="0" w:after="0" w:afterAutospacing="0"/>
              <w:jc w:val="both"/>
              <w:rPr>
                <w:rFonts w:eastAsiaTheme="majorEastAsia"/>
                <w:bCs/>
                <w:lang w:val="bg-BG"/>
              </w:rPr>
            </w:pPr>
            <w:r w:rsidRPr="009A1B77">
              <w:rPr>
                <w:rFonts w:eastAsiaTheme="majorEastAsia"/>
                <w:bCs/>
                <w:lang w:val="bg-BG"/>
              </w:rPr>
              <w:t xml:space="preserve">В 2 </w:t>
            </w:r>
            <w:proofErr w:type="spellStart"/>
            <w:r w:rsidRPr="009A1B77">
              <w:rPr>
                <w:rFonts w:eastAsiaTheme="majorEastAsia"/>
                <w:bCs/>
                <w:lang w:val="bg-BG"/>
              </w:rPr>
              <w:t>екз</w:t>
            </w:r>
            <w:proofErr w:type="spellEnd"/>
            <w:r w:rsidRPr="009A1B77">
              <w:rPr>
                <w:rFonts w:eastAsiaTheme="majorEastAsia"/>
                <w:bCs/>
                <w:lang w:val="bg-BG"/>
              </w:rPr>
              <w:t>. и електронно:</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конструктивна документация;</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електрически схеми;</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фабрична документация и сертификати на доставяното оборудване и измервателни устройства;</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ръководства (за експлоатация, за поддръжка и ремонт);</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описание на софтуера и диаграми на състоянието (</w:t>
            </w:r>
            <w:proofErr w:type="spellStart"/>
            <w:r w:rsidRPr="009A1B77">
              <w:rPr>
                <w:rFonts w:eastAsiaTheme="majorEastAsia"/>
                <w:bCs/>
                <w:lang w:val="bg-BG"/>
              </w:rPr>
              <w:t>state-diagram</w:t>
            </w:r>
            <w:proofErr w:type="spellEnd"/>
            <w:r w:rsidRPr="009A1B77">
              <w:rPr>
                <w:rFonts w:eastAsiaTheme="majorEastAsia"/>
                <w:bCs/>
                <w:lang w:val="bg-BG"/>
              </w:rPr>
              <w:t>);</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Проектът на софтуера да бъде предоставен без защити.</w:t>
            </w:r>
            <w:r w:rsidRPr="009A1B77">
              <w:rPr>
                <w:rFonts w:eastAsiaTheme="majorEastAsia"/>
                <w:b/>
                <w:bCs/>
                <w:lang w:val="bg-BG"/>
              </w:rPr>
              <w:t xml:space="preserve"> </w:t>
            </w:r>
          </w:p>
          <w:p w:rsidR="009A1B77" w:rsidRPr="009A1B77" w:rsidRDefault="009A1B77" w:rsidP="009A1B77">
            <w:pPr>
              <w:pStyle w:val="NormalWeb"/>
              <w:numPr>
                <w:ilvl w:val="0"/>
                <w:numId w:val="6"/>
              </w:numPr>
              <w:spacing w:before="0" w:beforeAutospacing="0" w:after="0" w:afterAutospacing="0"/>
              <w:jc w:val="both"/>
              <w:rPr>
                <w:rFonts w:eastAsiaTheme="majorEastAsia"/>
                <w:bCs/>
                <w:lang w:val="bg-BG"/>
              </w:rPr>
            </w:pPr>
            <w:r w:rsidRPr="009A1B77">
              <w:rPr>
                <w:rFonts w:eastAsiaTheme="majorEastAsia"/>
                <w:bCs/>
                <w:lang w:val="bg-BG"/>
              </w:rPr>
              <w:t>Да са описани всички пароли, PIN кодове и настройки.</w:t>
            </w:r>
          </w:p>
          <w:p w:rsidR="001C0856" w:rsidRPr="008903C4" w:rsidRDefault="009A1B77" w:rsidP="009A1B77">
            <w:pPr>
              <w:pStyle w:val="NormalWeb"/>
              <w:spacing w:before="0" w:beforeAutospacing="0" w:after="0" w:afterAutospacing="0"/>
              <w:jc w:val="both"/>
              <w:rPr>
                <w:rStyle w:val="Strong"/>
                <w:rFonts w:eastAsiaTheme="majorEastAsia"/>
                <w:b w:val="0"/>
                <w:lang w:val="bg-BG"/>
              </w:rPr>
            </w:pPr>
            <w:r w:rsidRPr="009A1B77">
              <w:rPr>
                <w:rFonts w:eastAsiaTheme="majorEastAsia"/>
                <w:bCs/>
                <w:lang w:val="bg-BG"/>
              </w:rPr>
              <w:t>Резултатите от базовия структурен анализ: якост, динамика, собствени честоти.</w:t>
            </w:r>
          </w:p>
        </w:tc>
      </w:tr>
      <w:tr w:rsidR="00DC05EC" w:rsidTr="00623D1B">
        <w:tc>
          <w:tcPr>
            <w:tcW w:w="4698" w:type="dxa"/>
          </w:tcPr>
          <w:p w:rsidR="00160E44" w:rsidRPr="00160E44" w:rsidRDefault="00160E44" w:rsidP="00160E44">
            <w:pPr>
              <w:pStyle w:val="NormalWeb"/>
              <w:spacing w:before="0" w:beforeAutospacing="0" w:after="0" w:afterAutospacing="0"/>
              <w:jc w:val="both"/>
              <w:rPr>
                <w:b/>
                <w:bCs/>
              </w:rPr>
            </w:pPr>
            <w:r w:rsidRPr="00160E44">
              <w:rPr>
                <w:b/>
                <w:bCs/>
              </w:rPr>
              <w:t>6. Warranty Conditions and Support</w:t>
            </w:r>
          </w:p>
          <w:p w:rsidR="00160E44" w:rsidRDefault="00160E44" w:rsidP="00160E44">
            <w:pPr>
              <w:pStyle w:val="NormalWeb"/>
              <w:numPr>
                <w:ilvl w:val="0"/>
                <w:numId w:val="13"/>
              </w:numPr>
              <w:spacing w:before="0" w:beforeAutospacing="0" w:after="0" w:afterAutospacing="0"/>
              <w:jc w:val="both"/>
            </w:pPr>
            <w:r>
              <w:t>The Contractor shall provide at least 12 months of warranty service and maintenance.</w:t>
            </w:r>
          </w:p>
          <w:p w:rsidR="00160E44" w:rsidRDefault="00160E44" w:rsidP="00160E44">
            <w:pPr>
              <w:pStyle w:val="NormalWeb"/>
              <w:numPr>
                <w:ilvl w:val="0"/>
                <w:numId w:val="13"/>
              </w:numPr>
              <w:spacing w:before="0" w:beforeAutospacing="0" w:after="0" w:afterAutospacing="0"/>
              <w:jc w:val="both"/>
            </w:pPr>
            <w:r>
              <w:t>The warranty period will be evaluated in the tender with limits from 12 to 60 months.</w:t>
            </w:r>
          </w:p>
          <w:p w:rsidR="00160E44" w:rsidRDefault="00160E44" w:rsidP="00160E44">
            <w:pPr>
              <w:pStyle w:val="NormalWeb"/>
              <w:numPr>
                <w:ilvl w:val="0"/>
                <w:numId w:val="13"/>
              </w:numPr>
              <w:spacing w:before="0" w:beforeAutospacing="0" w:after="0" w:afterAutospacing="0"/>
              <w:jc w:val="both"/>
            </w:pPr>
            <w:r>
              <w:t>Remote diagnostics within 2 working days during the warranty period.</w:t>
            </w:r>
          </w:p>
          <w:p w:rsidR="00160E44" w:rsidRDefault="00160E44" w:rsidP="00160E44">
            <w:pPr>
              <w:pStyle w:val="NormalWeb"/>
              <w:numPr>
                <w:ilvl w:val="0"/>
                <w:numId w:val="13"/>
              </w:numPr>
              <w:spacing w:before="0" w:beforeAutospacing="0" w:after="0" w:afterAutospacing="0"/>
              <w:jc w:val="both"/>
            </w:pPr>
            <w:r>
              <w:t>If on-site repair is not possible, the equipment shall be taken, repaired, or replaced with new within 45 working days at the Contractor’s expense. A temporary replacement shall be provided to ensure operability during repair. The warranty for repaired/replaced components shall be extended by the downtime duration. In justified cases (lack of parts, need for recalibration), repair time may be extended up to 100 working days.</w:t>
            </w:r>
          </w:p>
          <w:p w:rsidR="00160E44" w:rsidRDefault="00160E44" w:rsidP="00160E44">
            <w:pPr>
              <w:pStyle w:val="NormalWeb"/>
              <w:numPr>
                <w:ilvl w:val="0"/>
                <w:numId w:val="13"/>
              </w:numPr>
              <w:spacing w:before="0" w:beforeAutospacing="0" w:after="0" w:afterAutospacing="0"/>
              <w:jc w:val="both"/>
            </w:pPr>
            <w:r>
              <w:t>All expenses during the warranty period are at the Contractor’s cost.</w:t>
            </w:r>
          </w:p>
          <w:p w:rsidR="00DC05EC" w:rsidRDefault="00160E44" w:rsidP="00160E44">
            <w:pPr>
              <w:pStyle w:val="NormalWeb"/>
              <w:spacing w:before="0" w:beforeAutospacing="0" w:after="0" w:afterAutospacing="0"/>
              <w:jc w:val="both"/>
            </w:pPr>
            <w:r>
              <w:t>A post-warranty period of at least 10 years shall be ensured, to be subject to a separate contract.</w:t>
            </w:r>
          </w:p>
        </w:tc>
        <w:tc>
          <w:tcPr>
            <w:tcW w:w="4698" w:type="dxa"/>
          </w:tcPr>
          <w:p w:rsidR="00DC05EC" w:rsidRPr="00DC05EC" w:rsidRDefault="00DC05EC" w:rsidP="00DC05EC">
            <w:pPr>
              <w:pStyle w:val="NormalWeb"/>
              <w:spacing w:before="0" w:beforeAutospacing="0" w:after="0" w:afterAutospacing="0"/>
              <w:jc w:val="both"/>
              <w:rPr>
                <w:rFonts w:eastAsiaTheme="majorEastAsia"/>
                <w:b/>
                <w:bCs/>
                <w:lang w:val="bg-BG"/>
              </w:rPr>
            </w:pPr>
            <w:r w:rsidRPr="00DC05EC">
              <w:rPr>
                <w:rFonts w:eastAsiaTheme="majorEastAsia"/>
                <w:b/>
                <w:bCs/>
                <w:lang w:val="bg-BG"/>
              </w:rPr>
              <w:t>6. Гаранционни условия и поддръжка</w:t>
            </w:r>
          </w:p>
          <w:p w:rsidR="00DC05EC" w:rsidRPr="00DC05EC" w:rsidRDefault="00DC05EC" w:rsidP="00DC05EC">
            <w:pPr>
              <w:pStyle w:val="NormalWeb"/>
              <w:numPr>
                <w:ilvl w:val="0"/>
                <w:numId w:val="9"/>
              </w:numPr>
              <w:spacing w:before="0" w:beforeAutospacing="0" w:after="0" w:afterAutospacing="0"/>
              <w:jc w:val="both"/>
              <w:rPr>
                <w:rFonts w:eastAsiaTheme="majorEastAsia"/>
                <w:bCs/>
                <w:lang w:val="bg-BG"/>
              </w:rPr>
            </w:pPr>
            <w:r w:rsidRPr="00DC05EC">
              <w:rPr>
                <w:rFonts w:eastAsiaTheme="majorEastAsia"/>
                <w:bCs/>
                <w:lang w:val="bg-BG"/>
              </w:rPr>
              <w:t xml:space="preserve">Изпълнителят предоставя минимум 12 месеца гаранционно обслужване и поддръжка. Гаранционният срок влиза в оценката на офертите с граници от 12 до 60 месеца. </w:t>
            </w:r>
          </w:p>
          <w:p w:rsidR="00DC05EC" w:rsidRPr="00DC05EC" w:rsidRDefault="00DC05EC" w:rsidP="00DC05EC">
            <w:pPr>
              <w:pStyle w:val="NormalWeb"/>
              <w:numPr>
                <w:ilvl w:val="0"/>
                <w:numId w:val="9"/>
              </w:numPr>
              <w:spacing w:before="0" w:beforeAutospacing="0" w:after="0" w:afterAutospacing="0"/>
              <w:jc w:val="both"/>
              <w:rPr>
                <w:rFonts w:eastAsiaTheme="majorEastAsia"/>
                <w:bCs/>
                <w:lang w:val="bg-BG"/>
              </w:rPr>
            </w:pPr>
            <w:r w:rsidRPr="00DC05EC">
              <w:rPr>
                <w:rFonts w:eastAsiaTheme="majorEastAsia"/>
                <w:bCs/>
                <w:lang w:val="bg-BG"/>
              </w:rPr>
              <w:t>2 работни дни за дистанционна диагностика в периода на гаранцията.</w:t>
            </w:r>
          </w:p>
          <w:p w:rsidR="00DC05EC" w:rsidRPr="00DC05EC" w:rsidRDefault="00DC05EC" w:rsidP="00DC05EC">
            <w:pPr>
              <w:pStyle w:val="NormalWeb"/>
              <w:numPr>
                <w:ilvl w:val="0"/>
                <w:numId w:val="9"/>
              </w:numPr>
              <w:spacing w:before="0" w:beforeAutospacing="0" w:after="0" w:afterAutospacing="0"/>
              <w:jc w:val="both"/>
              <w:rPr>
                <w:rFonts w:eastAsiaTheme="majorEastAsia"/>
                <w:bCs/>
                <w:lang w:val="bg-BG"/>
              </w:rPr>
            </w:pPr>
            <w:r w:rsidRPr="00DC05EC">
              <w:rPr>
                <w:rFonts w:eastAsiaTheme="majorEastAsia"/>
                <w:bCs/>
                <w:lang w:val="bg-BG"/>
              </w:rPr>
              <w:t>Ако ремонтът на място не е възможен, оборудването трябва да се вземе и ремонтира или подмени с ново в рамките на 45 работни дни изцяло за сметка на Изпълнителя. Дефектната част трябва да се замени временно с друга, така че да се гарантира работоспособността на тръбата за времето на ремонта. В този случай гаранцията за подменени или ремонтирани компоненти или части трябва да се удължава за времето за ремонт, считано от момента на докладване на повредата до момента на връщане на работещото устройство на Възложителя. В обосновани случаи, свързани с липса на налични части или необходимостта от повторно калибриране на измервателния уред след ремонт (ако е бил необходим сертификат за калибриране), времето за ремонт може да бъде удължено до максимум 100 работни дни.</w:t>
            </w:r>
          </w:p>
          <w:p w:rsidR="00DC05EC" w:rsidRPr="00DC05EC" w:rsidRDefault="00DC05EC" w:rsidP="00DC05EC">
            <w:pPr>
              <w:pStyle w:val="NormalWeb"/>
              <w:numPr>
                <w:ilvl w:val="0"/>
                <w:numId w:val="9"/>
              </w:numPr>
              <w:spacing w:before="0" w:beforeAutospacing="0" w:after="0" w:afterAutospacing="0"/>
              <w:jc w:val="both"/>
              <w:rPr>
                <w:rFonts w:eastAsiaTheme="majorEastAsia"/>
                <w:bCs/>
                <w:lang w:val="bg-BG"/>
              </w:rPr>
            </w:pPr>
            <w:r w:rsidRPr="00DC05EC">
              <w:rPr>
                <w:rFonts w:eastAsiaTheme="majorEastAsia"/>
                <w:bCs/>
                <w:lang w:val="bg-BG"/>
              </w:rPr>
              <w:t>Всички разходи в гаранционния период са за сметка на Изпълнителя.</w:t>
            </w:r>
          </w:p>
          <w:p w:rsidR="00DC05EC" w:rsidRPr="00DC05EC" w:rsidRDefault="00DC05EC" w:rsidP="00DC05EC">
            <w:pPr>
              <w:pStyle w:val="NormalWeb"/>
              <w:spacing w:before="0" w:beforeAutospacing="0" w:after="0" w:afterAutospacing="0"/>
              <w:jc w:val="both"/>
              <w:rPr>
                <w:rFonts w:eastAsiaTheme="majorEastAsia"/>
                <w:bCs/>
                <w:lang w:val="bg-BG"/>
              </w:rPr>
            </w:pPr>
            <w:r w:rsidRPr="00DC05EC">
              <w:rPr>
                <w:rFonts w:eastAsiaTheme="majorEastAsia"/>
                <w:bCs/>
                <w:lang w:val="bg-BG"/>
              </w:rPr>
              <w:t>Следгаранционен период поне 10 години, който ще бъде обект на отделен договор.</w:t>
            </w:r>
          </w:p>
        </w:tc>
      </w:tr>
      <w:tr w:rsidR="001C0856" w:rsidTr="00623D1B">
        <w:tc>
          <w:tcPr>
            <w:tcW w:w="4698" w:type="dxa"/>
          </w:tcPr>
          <w:p w:rsidR="00A95FD4" w:rsidRPr="007A0EFF" w:rsidRDefault="00A95FD4" w:rsidP="00A95FD4">
            <w:pPr>
              <w:pStyle w:val="NormalWeb"/>
              <w:spacing w:before="0" w:beforeAutospacing="0" w:after="0" w:afterAutospacing="0"/>
              <w:jc w:val="both"/>
              <w:rPr>
                <w:b/>
              </w:rPr>
            </w:pPr>
            <w:r w:rsidRPr="007A0EFF">
              <w:rPr>
                <w:b/>
              </w:rPr>
              <w:t>7. Construction</w:t>
            </w:r>
          </w:p>
          <w:p w:rsidR="00A95FD4" w:rsidRDefault="00A95FD4" w:rsidP="00A95FD4">
            <w:pPr>
              <w:pStyle w:val="NormalWeb"/>
              <w:spacing w:before="0" w:beforeAutospacing="0" w:after="0" w:afterAutospacing="0"/>
              <w:jc w:val="both"/>
            </w:pPr>
            <w:r>
              <w:t xml:space="preserve">7.1. Place of construction: premises No. 4 and No. 5 (length 30 m, width 18 m, height 5 m) in block "G" on the territory of the </w:t>
            </w:r>
            <w:r w:rsidR="007A0EFF">
              <w:t>BSHC</w:t>
            </w:r>
            <w:r>
              <w:t xml:space="preserve">, </w:t>
            </w:r>
            <w:proofErr w:type="spellStart"/>
            <w:r>
              <w:t>Asparuhovo</w:t>
            </w:r>
            <w:proofErr w:type="spellEnd"/>
            <w:r>
              <w:t xml:space="preserve"> district, 1 William Froud</w:t>
            </w:r>
            <w:r w:rsidR="00755CAF">
              <w:t>e</w:t>
            </w:r>
            <w:r>
              <w:t xml:space="preserve"> Street, Varna 9003, Bulgaria.</w:t>
            </w:r>
          </w:p>
          <w:p w:rsidR="00A95FD4" w:rsidRDefault="00A95FD4" w:rsidP="00A95FD4">
            <w:pPr>
              <w:pStyle w:val="NormalWeb"/>
              <w:spacing w:before="0" w:beforeAutospacing="0" w:after="0" w:afterAutospacing="0"/>
              <w:jc w:val="both"/>
            </w:pPr>
            <w:r>
              <w:t>7.2. Transportation, packaging and insurance of the parts shall be carried out at the expense and responsibility of the Contractor under the terms DDP (delivered duty paid) Varna for third countries or CIP (transport and insurance paid by the Contractor) Varna for the EU. Payment of VAT upon import (supplier outside the EU) shall be borne by the Contracting Authority.</w:t>
            </w:r>
          </w:p>
          <w:p w:rsidR="00A95FD4" w:rsidRDefault="00A95FD4" w:rsidP="00A95FD4">
            <w:pPr>
              <w:pStyle w:val="NormalWeb"/>
              <w:spacing w:before="0" w:beforeAutospacing="0" w:after="0" w:afterAutospacing="0"/>
              <w:jc w:val="both"/>
            </w:pPr>
            <w:r>
              <w:t xml:space="preserve">Ownership and risk of loss shall pass to the Contracting Authority from the date of commissioning after performance tests and training for work have been carried out. On the territory of the </w:t>
            </w:r>
            <w:r w:rsidR="007A0EFF">
              <w:t>BSHC</w:t>
            </w:r>
            <w:r>
              <w:t>, the Contracting Authority shall be responsible for the storage of the parts.</w:t>
            </w:r>
          </w:p>
          <w:p w:rsidR="00A95FD4" w:rsidRDefault="00A95FD4" w:rsidP="00A95FD4">
            <w:pPr>
              <w:pStyle w:val="NormalWeb"/>
              <w:spacing w:before="0" w:beforeAutospacing="0" w:after="0" w:afterAutospacing="0"/>
              <w:jc w:val="both"/>
            </w:pPr>
            <w:r>
              <w:t>7.3. Construction stages:</w:t>
            </w:r>
          </w:p>
          <w:p w:rsidR="00A95FD4" w:rsidRDefault="00A95FD4" w:rsidP="00A95FD4">
            <w:pPr>
              <w:pStyle w:val="NormalWeb"/>
              <w:spacing w:before="0" w:beforeAutospacing="0" w:after="0" w:afterAutospacing="0"/>
              <w:jc w:val="both"/>
            </w:pPr>
            <w:r>
              <w:t>7.3.1. Design by the Contractor;</w:t>
            </w:r>
          </w:p>
          <w:p w:rsidR="00A95FD4" w:rsidRDefault="00A95FD4" w:rsidP="00A95FD4">
            <w:pPr>
              <w:pStyle w:val="NormalWeb"/>
              <w:spacing w:before="0" w:beforeAutospacing="0" w:after="0" w:afterAutospacing="0"/>
              <w:jc w:val="both"/>
            </w:pPr>
            <w:r>
              <w:t xml:space="preserve">• Coordination of all decisions with the </w:t>
            </w:r>
            <w:r w:rsidR="007A0EFF" w:rsidRPr="007A0EFF">
              <w:t>Contracting Authority</w:t>
            </w:r>
            <w:r>
              <w:t>.</w:t>
            </w:r>
            <w:r w:rsidR="007A0EFF">
              <w:t xml:space="preserve"> </w:t>
            </w:r>
          </w:p>
          <w:p w:rsidR="00A95FD4" w:rsidRDefault="00A95FD4" w:rsidP="00A95FD4">
            <w:pPr>
              <w:pStyle w:val="NormalWeb"/>
              <w:spacing w:before="0" w:beforeAutospacing="0" w:after="0" w:afterAutospacing="0"/>
              <w:jc w:val="both"/>
            </w:pPr>
            <w:r>
              <w:t>• Clarification of all issues during the design.</w:t>
            </w:r>
          </w:p>
          <w:p w:rsidR="00A95FD4" w:rsidRDefault="00A95FD4" w:rsidP="00A95FD4">
            <w:pPr>
              <w:pStyle w:val="NormalWeb"/>
              <w:spacing w:before="0" w:beforeAutospacing="0" w:after="0" w:afterAutospacing="0"/>
              <w:jc w:val="both"/>
            </w:pPr>
            <w:r>
              <w:t xml:space="preserve">7.3.2. Acceptance of the project by the </w:t>
            </w:r>
            <w:r w:rsidR="007A0EFF" w:rsidRPr="007A0EFF">
              <w:t>Contracting Authority</w:t>
            </w:r>
            <w:r>
              <w:t>;</w:t>
            </w:r>
            <w:r w:rsidR="007A0EFF">
              <w:t xml:space="preserve"> </w:t>
            </w:r>
          </w:p>
          <w:p w:rsidR="00A95FD4" w:rsidRDefault="00A95FD4" w:rsidP="00A95FD4">
            <w:pPr>
              <w:pStyle w:val="NormalWeb"/>
              <w:spacing w:before="0" w:beforeAutospacing="0" w:after="0" w:afterAutospacing="0"/>
              <w:jc w:val="both"/>
            </w:pPr>
            <w:r>
              <w:t>7.3.3. Start of construction by the Contractor;</w:t>
            </w:r>
          </w:p>
          <w:p w:rsidR="00A95FD4" w:rsidRDefault="00A95FD4" w:rsidP="00A95FD4">
            <w:pPr>
              <w:pStyle w:val="NormalWeb"/>
              <w:spacing w:before="0" w:beforeAutospacing="0" w:after="0" w:afterAutospacing="0"/>
              <w:jc w:val="both"/>
            </w:pPr>
            <w:r>
              <w:t xml:space="preserve">7.3.4. Preparation of the premises by the </w:t>
            </w:r>
            <w:r w:rsidR="007A0EFF">
              <w:t>Contracting Authority</w:t>
            </w:r>
            <w:r>
              <w:t xml:space="preserve">. By the date of installation, </w:t>
            </w:r>
            <w:r w:rsidR="007A0EFF">
              <w:t>it</w:t>
            </w:r>
            <w:r>
              <w:t xml:space="preserve"> will provide a work site for installation, equipped according to the preliminary instructions of the Contractor (foundation, crane, walls, etc.).</w:t>
            </w:r>
          </w:p>
          <w:p w:rsidR="00A95FD4" w:rsidRDefault="00A95FD4" w:rsidP="00A95FD4">
            <w:pPr>
              <w:pStyle w:val="NormalWeb"/>
              <w:spacing w:before="0" w:beforeAutospacing="0" w:after="0" w:afterAutospacing="0"/>
              <w:jc w:val="both"/>
            </w:pPr>
            <w:r>
              <w:t>• Preliminary 3D CAD installation plan provided by the Contractor.</w:t>
            </w:r>
          </w:p>
          <w:p w:rsidR="00A95FD4" w:rsidRDefault="00A95FD4" w:rsidP="00A95FD4">
            <w:pPr>
              <w:pStyle w:val="NormalWeb"/>
              <w:spacing w:before="0" w:beforeAutospacing="0" w:after="0" w:afterAutospacing="0"/>
              <w:jc w:val="both"/>
            </w:pPr>
            <w:r>
              <w:t xml:space="preserve">7.3.5. Preliminary acceptance tests for compliance with the assignment on the territory of the Contractor according to the preliminary agreement between the parties, a program with the participation of representatives of the </w:t>
            </w:r>
            <w:r w:rsidR="00244297" w:rsidRPr="00244297">
              <w:t>Contracting Authority</w:t>
            </w:r>
            <w:r>
              <w:t xml:space="preserve"> for certification of the </w:t>
            </w:r>
            <w:r w:rsidR="00244297">
              <w:t>tunnel</w:t>
            </w:r>
            <w:r>
              <w:t>;</w:t>
            </w:r>
          </w:p>
          <w:p w:rsidR="00A95FD4" w:rsidRDefault="00A95FD4" w:rsidP="00A95FD4">
            <w:pPr>
              <w:pStyle w:val="NormalWeb"/>
              <w:spacing w:before="0" w:beforeAutospacing="0" w:after="0" w:afterAutospacing="0"/>
              <w:jc w:val="both"/>
            </w:pPr>
            <w:r>
              <w:t xml:space="preserve">7.3.5. Transportation of parts to </w:t>
            </w:r>
            <w:r w:rsidR="00244297">
              <w:t>BSHC</w:t>
            </w:r>
            <w:r>
              <w:t xml:space="preserve"> by the Contractor;</w:t>
            </w:r>
          </w:p>
          <w:p w:rsidR="00A95FD4" w:rsidRDefault="00A95FD4" w:rsidP="00A95FD4">
            <w:pPr>
              <w:pStyle w:val="NormalWeb"/>
              <w:spacing w:before="0" w:beforeAutospacing="0" w:after="0" w:afterAutospacing="0"/>
              <w:jc w:val="both"/>
            </w:pPr>
            <w:r>
              <w:t>• Detailed logistics plan, incl. and schedule, for delivery of parts and construction, provided by the Contractor.</w:t>
            </w:r>
          </w:p>
          <w:p w:rsidR="00A95FD4" w:rsidRDefault="00A95FD4" w:rsidP="00A95FD4">
            <w:pPr>
              <w:pStyle w:val="NormalWeb"/>
              <w:spacing w:before="0" w:beforeAutospacing="0" w:after="0" w:afterAutospacing="0"/>
              <w:jc w:val="both"/>
            </w:pPr>
            <w:r>
              <w:t xml:space="preserve">7.3.6. Completion of construction by the Contractor. On the territory of </w:t>
            </w:r>
            <w:r w:rsidR="00244297">
              <w:t>BSHC</w:t>
            </w:r>
            <w:r>
              <w:t xml:space="preserve">, the Contractor undertakes to be responsible for implementing and complying with the rules and regulations for safe and healthy working conditions and fire protection, in accordance with the legal provisions in the Republic of Bulgaria, so as to prevent any accidents and damage to the health of workers by the </w:t>
            </w:r>
            <w:r w:rsidR="00BB4EF9">
              <w:t>Contractor</w:t>
            </w:r>
            <w:r>
              <w:t xml:space="preserve">, as well as by the </w:t>
            </w:r>
            <w:r w:rsidR="00BB4EF9">
              <w:t>Contractor</w:t>
            </w:r>
            <w:r>
              <w:t>'s actions, which may cause injury to other persons or pose a danger to their life and health or pose a risk of fire.</w:t>
            </w:r>
          </w:p>
          <w:p w:rsidR="00A95FD4" w:rsidRDefault="00A95FD4" w:rsidP="00A95FD4">
            <w:pPr>
              <w:pStyle w:val="NormalWeb"/>
              <w:spacing w:before="0" w:beforeAutospacing="0" w:after="0" w:afterAutospacing="0"/>
              <w:jc w:val="both"/>
            </w:pPr>
            <w:r>
              <w:t>7.3.7. Conducting performance tests according to a program previously agreed between the parties with the participation of representatives of the Contracting Authority.</w:t>
            </w:r>
          </w:p>
          <w:p w:rsidR="00A95FD4" w:rsidRDefault="00A95FD4" w:rsidP="00A95FD4">
            <w:pPr>
              <w:pStyle w:val="NormalWeb"/>
              <w:spacing w:before="0" w:beforeAutospacing="0" w:after="0" w:afterAutospacing="0"/>
              <w:jc w:val="both"/>
            </w:pPr>
            <w:r>
              <w:t>• List of spare parts, provided by the Contractor.</w:t>
            </w:r>
          </w:p>
          <w:p w:rsidR="00A95FD4" w:rsidRDefault="00A95FD4" w:rsidP="00A95FD4">
            <w:pPr>
              <w:pStyle w:val="NormalWeb"/>
              <w:spacing w:before="0" w:beforeAutospacing="0" w:after="0" w:afterAutospacing="0"/>
              <w:jc w:val="both"/>
            </w:pPr>
            <w:r>
              <w:t>7.3.8. Training by the Contractor. The Contractor shall conduct training of the personnel</w:t>
            </w:r>
            <w:r w:rsidR="00BB4EF9">
              <w:t xml:space="preserve"> of </w:t>
            </w:r>
            <w:r w:rsidR="00BB4EF9" w:rsidRPr="00BB4EF9">
              <w:t>Contracting Authority</w:t>
            </w:r>
            <w:r>
              <w:t xml:space="preserve"> (minimum 2–3 days) on standard operation of the pipe, safe operation and basic maintenance procedures, for which it shall provide written instructions to the </w:t>
            </w:r>
            <w:r w:rsidR="006F5AEB" w:rsidRPr="006F5AEB">
              <w:t>Contracting Authority</w:t>
            </w:r>
            <w:r>
              <w:t>.</w:t>
            </w:r>
          </w:p>
          <w:p w:rsidR="001C0856" w:rsidRDefault="00A95FD4" w:rsidP="006F5AEB">
            <w:pPr>
              <w:pStyle w:val="NormalWeb"/>
              <w:spacing w:before="0" w:beforeAutospacing="0" w:after="0" w:afterAutospacing="0"/>
              <w:jc w:val="both"/>
            </w:pPr>
            <w:r>
              <w:t xml:space="preserve">7.3.9. Commissioning, which shall be established by signing a final acceptance and delivery </w:t>
            </w:r>
            <w:r w:rsidR="006F5AEB">
              <w:t>statement</w:t>
            </w:r>
            <w:r>
              <w:t>.</w:t>
            </w:r>
          </w:p>
        </w:tc>
        <w:tc>
          <w:tcPr>
            <w:tcW w:w="4698" w:type="dxa"/>
          </w:tcPr>
          <w:p w:rsidR="009A1B77" w:rsidRPr="009A1B77" w:rsidRDefault="00DC05EC" w:rsidP="009A1B77">
            <w:pPr>
              <w:pStyle w:val="NormalWeb"/>
              <w:spacing w:before="0" w:beforeAutospacing="0" w:after="0" w:afterAutospacing="0"/>
              <w:jc w:val="both"/>
              <w:rPr>
                <w:rFonts w:eastAsiaTheme="majorEastAsia"/>
                <w:b/>
                <w:bCs/>
                <w:lang w:val="bg-BG"/>
              </w:rPr>
            </w:pPr>
            <w:r>
              <w:rPr>
                <w:rFonts w:eastAsiaTheme="majorEastAsia"/>
                <w:b/>
                <w:bCs/>
              </w:rPr>
              <w:t>7</w:t>
            </w:r>
            <w:r w:rsidR="009A1B77" w:rsidRPr="009A1B77">
              <w:rPr>
                <w:rFonts w:eastAsiaTheme="majorEastAsia"/>
                <w:b/>
                <w:bCs/>
                <w:lang w:val="bg-BG"/>
              </w:rPr>
              <w:t>. Изграждане</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rPr>
              <w:t xml:space="preserve">.1. </w:t>
            </w:r>
            <w:r w:rsidR="009A1B77" w:rsidRPr="009A1B77">
              <w:rPr>
                <w:rFonts w:eastAsiaTheme="majorEastAsia"/>
                <w:bCs/>
                <w:lang w:val="bg-BG"/>
              </w:rPr>
              <w:t>Място на изграждане:</w:t>
            </w:r>
            <w:r w:rsidR="009A1B77" w:rsidRPr="009A1B77">
              <w:rPr>
                <w:rFonts w:eastAsiaTheme="majorEastAsia"/>
                <w:bCs/>
              </w:rPr>
              <w:t xml:space="preserve"> </w:t>
            </w:r>
            <w:r w:rsidR="009A1B77" w:rsidRPr="009A1B77">
              <w:rPr>
                <w:rFonts w:eastAsiaTheme="majorEastAsia"/>
                <w:bCs/>
                <w:lang w:val="bg-BG"/>
              </w:rPr>
              <w:t>помещения №  4 и № 5 (дължина 30 m, ширина 18 m, височина 5 m) в бл. „</w:t>
            </w:r>
            <w:r w:rsidR="009A1B77" w:rsidRPr="009A1B77">
              <w:rPr>
                <w:rFonts w:eastAsiaTheme="majorEastAsia"/>
                <w:bCs/>
              </w:rPr>
              <w:t>G</w:t>
            </w:r>
            <w:r w:rsidR="009A1B77" w:rsidRPr="009A1B77">
              <w:rPr>
                <w:rFonts w:eastAsiaTheme="majorEastAsia"/>
                <w:bCs/>
                <w:lang w:val="bg-BG"/>
              </w:rPr>
              <w:t xml:space="preserve">“ на територията на Център по </w:t>
            </w:r>
            <w:proofErr w:type="spellStart"/>
            <w:r w:rsidR="009A1B77" w:rsidRPr="009A1B77">
              <w:rPr>
                <w:rFonts w:eastAsiaTheme="majorEastAsia"/>
                <w:bCs/>
                <w:lang w:val="bg-BG"/>
              </w:rPr>
              <w:t>хидро</w:t>
            </w:r>
            <w:proofErr w:type="spellEnd"/>
            <w:r w:rsidR="009A1B77" w:rsidRPr="009A1B77">
              <w:rPr>
                <w:rFonts w:eastAsiaTheme="majorEastAsia"/>
                <w:bCs/>
                <w:lang w:val="bg-BG"/>
              </w:rPr>
              <w:t xml:space="preserve">- и аеродинамика кв. „Аспарухово“, </w:t>
            </w:r>
            <w:proofErr w:type="spellStart"/>
            <w:r w:rsidR="009A1B77" w:rsidRPr="009A1B77">
              <w:rPr>
                <w:rFonts w:eastAsiaTheme="majorEastAsia"/>
                <w:bCs/>
                <w:lang w:val="bg-BG"/>
              </w:rPr>
              <w:t>ул</w:t>
            </w:r>
            <w:proofErr w:type="spellEnd"/>
            <w:r w:rsidR="009A1B77" w:rsidRPr="009A1B77">
              <w:rPr>
                <w:rFonts w:eastAsiaTheme="majorEastAsia"/>
                <w:bCs/>
                <w:lang w:val="bg-BG"/>
              </w:rPr>
              <w:t xml:space="preserve">.“Уилям </w:t>
            </w:r>
            <w:proofErr w:type="spellStart"/>
            <w:r w:rsidR="009A1B77" w:rsidRPr="009A1B77">
              <w:rPr>
                <w:rFonts w:eastAsiaTheme="majorEastAsia"/>
                <w:bCs/>
                <w:lang w:val="bg-BG"/>
              </w:rPr>
              <w:t>Фруд</w:t>
            </w:r>
            <w:proofErr w:type="spellEnd"/>
            <w:r w:rsidR="009A1B77" w:rsidRPr="009A1B77">
              <w:rPr>
                <w:rFonts w:eastAsiaTheme="majorEastAsia"/>
                <w:bCs/>
                <w:lang w:val="bg-BG"/>
              </w:rPr>
              <w:t>“ № 1, Варна 9003, България.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rPr>
              <w:t xml:space="preserve">.2. </w:t>
            </w:r>
            <w:r w:rsidR="009A1B77" w:rsidRPr="009A1B77">
              <w:rPr>
                <w:rFonts w:eastAsiaTheme="majorEastAsia"/>
                <w:bCs/>
                <w:lang w:val="bg-BG"/>
              </w:rPr>
              <w:t xml:space="preserve">Транспортирането, опаковането и застраховката на частите се осъществява за сметка и отговорност на Изпълнителя при условията </w:t>
            </w:r>
            <w:r w:rsidR="009A1B77" w:rsidRPr="009A1B77">
              <w:rPr>
                <w:rFonts w:eastAsiaTheme="majorEastAsia"/>
                <w:bCs/>
              </w:rPr>
              <w:t>DDP</w:t>
            </w:r>
            <w:r w:rsidR="009A1B77" w:rsidRPr="009A1B77">
              <w:rPr>
                <w:rFonts w:eastAsiaTheme="majorEastAsia"/>
                <w:bCs/>
                <w:lang w:val="bg-BG"/>
              </w:rPr>
              <w:t xml:space="preserve"> (доставено мито платено)</w:t>
            </w:r>
            <w:r w:rsidR="009A1B77" w:rsidRPr="009A1B77">
              <w:rPr>
                <w:rFonts w:eastAsiaTheme="majorEastAsia"/>
                <w:bCs/>
              </w:rPr>
              <w:t xml:space="preserve"> </w:t>
            </w:r>
            <w:r w:rsidR="009A1B77" w:rsidRPr="009A1B77">
              <w:rPr>
                <w:rFonts w:eastAsiaTheme="majorEastAsia"/>
                <w:bCs/>
                <w:lang w:val="bg-BG"/>
              </w:rPr>
              <w:t xml:space="preserve">Варна за трети страни или </w:t>
            </w:r>
            <w:r w:rsidR="009A1B77" w:rsidRPr="009A1B77">
              <w:rPr>
                <w:rFonts w:eastAsiaTheme="majorEastAsia"/>
                <w:bCs/>
              </w:rPr>
              <w:t>CIP</w:t>
            </w:r>
            <w:r w:rsidR="009A1B77" w:rsidRPr="009A1B77">
              <w:rPr>
                <w:rFonts w:eastAsiaTheme="majorEastAsia"/>
                <w:bCs/>
                <w:lang w:val="bg-BG"/>
              </w:rPr>
              <w:t xml:space="preserve"> (транспорт и застраховане, платено от Изпълнителя)</w:t>
            </w:r>
            <w:r w:rsidR="009A1B77" w:rsidRPr="009A1B77">
              <w:rPr>
                <w:rFonts w:eastAsiaTheme="majorEastAsia"/>
                <w:bCs/>
              </w:rPr>
              <w:t xml:space="preserve"> </w:t>
            </w:r>
            <w:r w:rsidR="009A1B77" w:rsidRPr="009A1B77">
              <w:rPr>
                <w:rFonts w:eastAsiaTheme="majorEastAsia"/>
                <w:bCs/>
                <w:lang w:val="bg-BG"/>
              </w:rPr>
              <w:t>Варна за ЕС. Плащането на ДДС при вноса (доставчик извън ЕС) се поема от Възложителя.</w:t>
            </w:r>
          </w:p>
          <w:p w:rsidR="009A1B77" w:rsidRPr="009A1B77" w:rsidRDefault="009A1B77" w:rsidP="009A1B77">
            <w:pPr>
              <w:pStyle w:val="NormalWeb"/>
              <w:spacing w:before="0" w:beforeAutospacing="0" w:after="0" w:afterAutospacing="0"/>
              <w:jc w:val="both"/>
              <w:rPr>
                <w:rFonts w:eastAsiaTheme="majorEastAsia"/>
                <w:bCs/>
                <w:lang w:val="bg-BG"/>
              </w:rPr>
            </w:pPr>
            <w:r w:rsidRPr="009A1B77">
              <w:rPr>
                <w:rFonts w:eastAsiaTheme="majorEastAsia"/>
                <w:bCs/>
                <w:lang w:val="bg-BG"/>
              </w:rPr>
              <w:t>Собствеността и рискът от погиване преминават върху Възложителя от датата на пускане в експлоатация след проведени изпитания за работоспособност и обучение за работа. На територията на ЦХА-варна Възложителят носи отговорност за съхранението на частите.</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 Етапи на изграждане:</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.3.1. Проектиране от Изпълнителя;</w:t>
            </w:r>
          </w:p>
          <w:p w:rsidR="009A1B77" w:rsidRPr="009A1B77" w:rsidRDefault="009A1B77" w:rsidP="009A1B77">
            <w:pPr>
              <w:pStyle w:val="NormalWeb"/>
              <w:numPr>
                <w:ilvl w:val="0"/>
                <w:numId w:val="7"/>
              </w:numPr>
              <w:spacing w:before="0" w:beforeAutospacing="0" w:after="0" w:afterAutospacing="0"/>
              <w:jc w:val="both"/>
              <w:rPr>
                <w:rFonts w:eastAsiaTheme="majorEastAsia"/>
                <w:bCs/>
                <w:lang w:val="bg-BG"/>
              </w:rPr>
            </w:pPr>
            <w:r w:rsidRPr="009A1B77">
              <w:rPr>
                <w:rFonts w:eastAsiaTheme="majorEastAsia"/>
                <w:bCs/>
                <w:lang w:val="bg-BG"/>
              </w:rPr>
              <w:t>Съгласуване на всички решения с Възложителя.</w:t>
            </w:r>
          </w:p>
          <w:p w:rsidR="009A1B77" w:rsidRPr="009A1B77" w:rsidRDefault="009A1B77" w:rsidP="009A1B77">
            <w:pPr>
              <w:pStyle w:val="NormalWeb"/>
              <w:numPr>
                <w:ilvl w:val="0"/>
                <w:numId w:val="7"/>
              </w:numPr>
              <w:spacing w:before="0" w:beforeAutospacing="0" w:after="0" w:afterAutospacing="0"/>
              <w:jc w:val="both"/>
              <w:rPr>
                <w:rFonts w:eastAsiaTheme="majorEastAsia"/>
                <w:bCs/>
                <w:lang w:val="bg-BG"/>
              </w:rPr>
            </w:pPr>
            <w:r w:rsidRPr="009A1B77">
              <w:rPr>
                <w:rFonts w:eastAsiaTheme="majorEastAsia"/>
                <w:bCs/>
                <w:lang w:val="bg-BG"/>
              </w:rPr>
              <w:t>Изясняване на всички въпроси по време на проектирането.</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.3.2. Приемане на проекта от Възложителя;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.3.3. Начало на изграждане от Изпълнителя;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.3.4. Подготовка на помещението от Възложителя. Към датата на монтажа, той ще осигури работна площадка за монтажа, оборудвана съгласно предварителните инструкции на Изпълнителя (фундамент, подемен кран, стени и др.).</w:t>
            </w:r>
          </w:p>
          <w:p w:rsidR="009A1B77" w:rsidRPr="009A1B77" w:rsidRDefault="009A1B77" w:rsidP="009A1B77">
            <w:pPr>
              <w:pStyle w:val="NormalWeb"/>
              <w:spacing w:before="0" w:beforeAutospacing="0" w:after="0" w:afterAutospacing="0"/>
              <w:jc w:val="both"/>
              <w:rPr>
                <w:rFonts w:eastAsiaTheme="majorEastAsia"/>
                <w:bCs/>
                <w:lang w:val="bg-BG"/>
              </w:rPr>
            </w:pPr>
            <w:r w:rsidRPr="009A1B77">
              <w:rPr>
                <w:rFonts w:eastAsiaTheme="majorEastAsia"/>
                <w:bCs/>
                <w:lang w:val="bg-BG"/>
              </w:rPr>
              <w:t>•</w:t>
            </w:r>
            <w:r w:rsidRPr="009A1B77">
              <w:rPr>
                <w:rFonts w:eastAsiaTheme="majorEastAsia"/>
                <w:bCs/>
                <w:lang w:val="bg-BG"/>
              </w:rPr>
              <w:tab/>
              <w:t>Предварителен 3D CAD монтажен план, предоставен от Изпълнителя.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.3.5. Предварителни приемни тестове за съответствие със заданието на територията на Изпълнителя по предварително съгласуване между страните програма с участие на представители на Възложителя за сертифициране на тръбата;</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 xml:space="preserve">.3.5. Транспортиране на частите до ЦХА – Варна от Изпълнителя; </w:t>
            </w:r>
          </w:p>
          <w:p w:rsidR="009A1B77" w:rsidRPr="009A1B77" w:rsidRDefault="009A1B77" w:rsidP="009A1B77">
            <w:pPr>
              <w:pStyle w:val="NormalWeb"/>
              <w:numPr>
                <w:ilvl w:val="0"/>
                <w:numId w:val="8"/>
              </w:numPr>
              <w:spacing w:before="0" w:beforeAutospacing="0" w:after="0" w:afterAutospacing="0"/>
              <w:jc w:val="both"/>
              <w:rPr>
                <w:rFonts w:eastAsiaTheme="majorEastAsia"/>
                <w:bCs/>
                <w:lang w:val="bg-BG"/>
              </w:rPr>
            </w:pPr>
            <w:r w:rsidRPr="009A1B77">
              <w:rPr>
                <w:rFonts w:eastAsiaTheme="majorEastAsia"/>
                <w:bCs/>
                <w:lang w:val="bg-BG"/>
              </w:rPr>
              <w:t>Подробен логистичен план, вкл. и график, за доставка на частите и изграждане, предоставен от Изпълнителя.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.3.6. Приключване на изграждането от Изпълнителя. На територията на ЦХА-Варна същият</w:t>
            </w:r>
            <w:r w:rsidR="009A1B77" w:rsidRPr="009A1B77">
              <w:rPr>
                <w:rFonts w:eastAsiaTheme="majorEastAsia"/>
                <w:b/>
                <w:bCs/>
                <w:lang w:val="bg-BG"/>
              </w:rPr>
              <w:t xml:space="preserve"> </w:t>
            </w:r>
            <w:r w:rsidR="009A1B77" w:rsidRPr="009A1B77">
              <w:rPr>
                <w:rFonts w:eastAsiaTheme="majorEastAsia"/>
                <w:bCs/>
                <w:lang w:val="bg-BG"/>
              </w:rPr>
              <w:t xml:space="preserve">се задължава да носи отговорност за прилагане и спазване на правилата и нормите за безопасни и здравословни условия на труд и противопожарна охрана, съгласно законовите разпоредби в Република България така, че да бъдат предотвратени всякакви злополуки и увреждане здравето на работещите от страна на </w:t>
            </w:r>
            <w:r w:rsidR="00244297">
              <w:rPr>
                <w:rFonts w:eastAsiaTheme="majorEastAsia"/>
                <w:bCs/>
                <w:lang w:val="bg-BG"/>
              </w:rPr>
              <w:t>Изпълнителя</w:t>
            </w:r>
            <w:r w:rsidR="009A1B77" w:rsidRPr="009A1B77">
              <w:rPr>
                <w:rFonts w:eastAsiaTheme="majorEastAsia"/>
                <w:bCs/>
                <w:lang w:val="bg-BG"/>
              </w:rPr>
              <w:t xml:space="preserve">, така и от действията на </w:t>
            </w:r>
            <w:r w:rsidR="00244297">
              <w:rPr>
                <w:rFonts w:eastAsiaTheme="majorEastAsia"/>
                <w:bCs/>
                <w:lang w:val="bg-BG"/>
              </w:rPr>
              <w:t>Изпълнителя</w:t>
            </w:r>
            <w:r w:rsidR="009A1B77" w:rsidRPr="009A1B77">
              <w:rPr>
                <w:rFonts w:eastAsiaTheme="majorEastAsia"/>
                <w:bCs/>
                <w:lang w:val="bg-BG"/>
              </w:rPr>
              <w:t>, от които може да пострадат други лица или има опасност за живота и здравето им или има опасност от пожар.</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 xml:space="preserve">.3.7. Провеждане на изпитания за работоспособност по предварително съгласувана между страните програма с участие на представители на Възложителя. </w:t>
            </w:r>
          </w:p>
          <w:p w:rsidR="009A1B77" w:rsidRPr="009A1B77" w:rsidRDefault="009A1B77" w:rsidP="009A1B77">
            <w:pPr>
              <w:pStyle w:val="NormalWeb"/>
              <w:numPr>
                <w:ilvl w:val="0"/>
                <w:numId w:val="8"/>
              </w:numPr>
              <w:spacing w:before="0" w:beforeAutospacing="0" w:after="0" w:afterAutospacing="0"/>
              <w:jc w:val="both"/>
              <w:rPr>
                <w:rFonts w:eastAsiaTheme="majorEastAsia"/>
                <w:bCs/>
                <w:lang w:val="bg-BG"/>
              </w:rPr>
            </w:pPr>
            <w:r w:rsidRPr="009A1B77">
              <w:rPr>
                <w:rFonts w:eastAsiaTheme="majorEastAsia"/>
                <w:bCs/>
                <w:lang w:val="bg-BG"/>
              </w:rPr>
              <w:t>Списък на резервни части, предоставен от Изпълнителя.</w:t>
            </w:r>
          </w:p>
          <w:p w:rsidR="009A1B77" w:rsidRPr="009A1B77" w:rsidRDefault="00DC05EC" w:rsidP="009A1B77">
            <w:pPr>
              <w:pStyle w:val="NormalWeb"/>
              <w:spacing w:before="0" w:beforeAutospacing="0" w:after="0" w:afterAutospacing="0"/>
              <w:jc w:val="both"/>
              <w:rPr>
                <w:rFonts w:eastAsiaTheme="majorEastAsia"/>
                <w:bCs/>
                <w:lang w:val="bg-BG"/>
              </w:rPr>
            </w:pPr>
            <w:r>
              <w:rPr>
                <w:rFonts w:eastAsiaTheme="majorEastAsia"/>
                <w:bCs/>
              </w:rPr>
              <w:t>7</w:t>
            </w:r>
            <w:r w:rsidR="009A1B77" w:rsidRPr="009A1B77">
              <w:rPr>
                <w:rFonts w:eastAsiaTheme="majorEastAsia"/>
                <w:bCs/>
                <w:lang w:val="bg-BG"/>
              </w:rPr>
              <w:t xml:space="preserve">.3.8. Обучение от страна на Изпълнителя. Изпълнителят провежда обучение на персонала на Възложителя (минимум 2–3 дни) за стандартна експлоатация на тръбата, безопасна работа и основни процедури по поддръжка, за които предоставя писмена инструкция на Възложителя.  </w:t>
            </w:r>
          </w:p>
          <w:p w:rsidR="001C0856" w:rsidRPr="008903C4" w:rsidRDefault="00DC05EC" w:rsidP="009A1B77">
            <w:pPr>
              <w:pStyle w:val="NormalWeb"/>
              <w:spacing w:before="0" w:beforeAutospacing="0" w:after="0" w:afterAutospacing="0"/>
              <w:jc w:val="both"/>
              <w:rPr>
                <w:rStyle w:val="Strong"/>
                <w:rFonts w:eastAsiaTheme="majorEastAsia"/>
                <w:b w:val="0"/>
                <w:lang w:val="bg-BG"/>
              </w:rPr>
            </w:pPr>
            <w:r>
              <w:rPr>
                <w:rFonts w:eastAsiaTheme="majorEastAsia"/>
                <w:bCs/>
              </w:rPr>
              <w:t>7</w:t>
            </w:r>
            <w:r w:rsidR="009A1B77" w:rsidRPr="009A1B77">
              <w:rPr>
                <w:rFonts w:eastAsiaTheme="majorEastAsia"/>
                <w:bCs/>
                <w:lang w:val="bg-BG"/>
              </w:rPr>
              <w:t>.3.9. Пускане в експлоатация, което се установява с подписване на окончателен приемо-предавателен протокол.</w:t>
            </w:r>
          </w:p>
        </w:tc>
      </w:tr>
      <w:tr w:rsidR="009A1B77" w:rsidTr="00623D1B">
        <w:tc>
          <w:tcPr>
            <w:tcW w:w="4698" w:type="dxa"/>
          </w:tcPr>
          <w:p w:rsidR="009A4A79" w:rsidRPr="009A4A79" w:rsidRDefault="009A4A79" w:rsidP="009A4A79">
            <w:pPr>
              <w:pStyle w:val="NormalWeb"/>
              <w:spacing w:before="0" w:beforeAutospacing="0" w:after="0" w:afterAutospacing="0"/>
              <w:jc w:val="both"/>
              <w:rPr>
                <w:b/>
              </w:rPr>
            </w:pPr>
            <w:r w:rsidRPr="009A4A79">
              <w:rPr>
                <w:b/>
              </w:rPr>
              <w:t>Requirements for participants</w:t>
            </w:r>
          </w:p>
          <w:p w:rsidR="009A4A79" w:rsidRDefault="009A4A79" w:rsidP="009A4A79">
            <w:pPr>
              <w:pStyle w:val="NormalWeb"/>
              <w:spacing w:before="0" w:beforeAutospacing="0" w:after="0" w:afterAutospacing="0"/>
              <w:jc w:val="both"/>
            </w:pPr>
            <w:r>
              <w:t>The participant must meet the requirements for personal status under Art. 54 and Art. 55, para. 1, item 1 of the Public Procurement Act. For this purpose, the E</w:t>
            </w:r>
            <w:r w:rsidR="005B2540">
              <w:t>SP</w:t>
            </w:r>
            <w:r>
              <w:t xml:space="preserve">D, Part III: </w:t>
            </w:r>
            <w:r w:rsidR="005B2540" w:rsidRPr="005B2540">
              <w:rPr>
                <w:lang w:val="en-GB"/>
              </w:rPr>
              <w:t>Exclusion criteria</w:t>
            </w:r>
            <w:r>
              <w:t xml:space="preserve"> </w:t>
            </w:r>
            <w:r w:rsidR="005B2540">
              <w:t>shall be</w:t>
            </w:r>
            <w:r>
              <w:t xml:space="preserve"> completed.</w:t>
            </w:r>
          </w:p>
          <w:p w:rsidR="009A1B77" w:rsidRDefault="009A4A79" w:rsidP="005B2540">
            <w:pPr>
              <w:pStyle w:val="NormalWeb"/>
              <w:spacing w:before="0" w:beforeAutospacing="0" w:after="0" w:afterAutospacing="0"/>
              <w:jc w:val="both"/>
            </w:pPr>
            <w:r>
              <w:t xml:space="preserve">Other grounds for exclusion are under Art. 107 of the Public Procurement Act and Art. 35a, para. 3 of the </w:t>
            </w:r>
            <w:r w:rsidR="005B2540">
              <w:t>RIPPA.</w:t>
            </w:r>
          </w:p>
        </w:tc>
        <w:tc>
          <w:tcPr>
            <w:tcW w:w="4698" w:type="dxa"/>
          </w:tcPr>
          <w:p w:rsidR="00DC05EC" w:rsidRDefault="00DC05EC" w:rsidP="00DC05EC">
            <w:pPr>
              <w:pStyle w:val="NormalWeb"/>
              <w:spacing w:before="0" w:beforeAutospacing="0" w:after="0" w:afterAutospacing="0"/>
              <w:jc w:val="both"/>
              <w:rPr>
                <w:rFonts w:eastAsiaTheme="majorEastAsia"/>
                <w:bCs/>
                <w:lang w:val="bg-BG"/>
              </w:rPr>
            </w:pPr>
            <w:r w:rsidRPr="00DC05EC">
              <w:rPr>
                <w:rFonts w:eastAsiaTheme="majorEastAsia"/>
                <w:b/>
                <w:bCs/>
                <w:lang w:val="bg-BG"/>
              </w:rPr>
              <w:t>Изисквания към участниците</w:t>
            </w:r>
          </w:p>
          <w:p w:rsidR="009A1B77" w:rsidRDefault="00DC05EC" w:rsidP="00DC05EC">
            <w:pPr>
              <w:pStyle w:val="NormalWeb"/>
              <w:spacing w:before="0" w:beforeAutospacing="0" w:after="0" w:afterAutospacing="0"/>
              <w:jc w:val="both"/>
              <w:rPr>
                <w:rFonts w:eastAsiaTheme="majorEastAsia"/>
                <w:bCs/>
                <w:lang w:val="bg-BG"/>
              </w:rPr>
            </w:pPr>
            <w:r w:rsidRPr="00DC05EC">
              <w:rPr>
                <w:rFonts w:eastAsiaTheme="majorEastAsia"/>
                <w:bCs/>
                <w:lang w:val="bg-BG"/>
              </w:rPr>
              <w:t>Участникът трябва да отговаря на изискванията за лично състояние по чл. 54 и чл. 55, ал. 1, т. 1 от ЗОП. За целта се попълва ЕЕДОП, Част III: Основания за изключване</w:t>
            </w:r>
            <w:r>
              <w:rPr>
                <w:rFonts w:eastAsiaTheme="majorEastAsia"/>
                <w:bCs/>
                <w:lang w:val="bg-BG"/>
              </w:rPr>
              <w:t>.</w:t>
            </w:r>
          </w:p>
          <w:p w:rsidR="00DC05EC" w:rsidRPr="008903C4" w:rsidRDefault="00580245" w:rsidP="00580245">
            <w:pPr>
              <w:pStyle w:val="NormalWeb"/>
              <w:spacing w:before="0" w:beforeAutospacing="0" w:after="0" w:afterAutospacing="0"/>
              <w:jc w:val="both"/>
              <w:rPr>
                <w:rStyle w:val="Strong"/>
                <w:rFonts w:eastAsiaTheme="majorEastAsia"/>
                <w:b w:val="0"/>
                <w:lang w:val="bg-BG"/>
              </w:rPr>
            </w:pPr>
            <w:r>
              <w:rPr>
                <w:rFonts w:eastAsiaTheme="majorEastAsia"/>
                <w:bCs/>
                <w:lang w:val="bg-BG"/>
              </w:rPr>
              <w:t xml:space="preserve">Други </w:t>
            </w:r>
            <w:r w:rsidRPr="00580245">
              <w:rPr>
                <w:rFonts w:eastAsiaTheme="majorEastAsia"/>
                <w:bCs/>
                <w:lang w:val="bg-BG"/>
              </w:rPr>
              <w:t>основания за отстраняване</w:t>
            </w:r>
            <w:r>
              <w:rPr>
                <w:rFonts w:eastAsiaTheme="majorEastAsia"/>
                <w:bCs/>
                <w:lang w:val="bg-BG"/>
              </w:rPr>
              <w:t xml:space="preserve"> са </w:t>
            </w:r>
            <w:r w:rsidRPr="00580245">
              <w:rPr>
                <w:rFonts w:eastAsiaTheme="majorEastAsia"/>
                <w:bCs/>
                <w:lang w:val="bg-BG"/>
              </w:rPr>
              <w:t>по чл. 107 от ЗОП и по чл.35а, ал.3 от ППЗОП</w:t>
            </w:r>
            <w:r>
              <w:rPr>
                <w:rFonts w:eastAsiaTheme="majorEastAsia"/>
                <w:bCs/>
                <w:lang w:val="bg-BG"/>
              </w:rPr>
              <w:t>.</w:t>
            </w:r>
          </w:p>
        </w:tc>
      </w:tr>
      <w:tr w:rsidR="001C0856" w:rsidTr="00623D1B">
        <w:tc>
          <w:tcPr>
            <w:tcW w:w="4698" w:type="dxa"/>
          </w:tcPr>
          <w:p w:rsidR="008A2E38" w:rsidRDefault="008A2E38" w:rsidP="008A2E38">
            <w:pPr>
              <w:pStyle w:val="NormalWeb"/>
              <w:spacing w:before="0" w:beforeAutospacing="0" w:after="0" w:afterAutospacing="0"/>
              <w:jc w:val="both"/>
            </w:pPr>
            <w:r>
              <w:t xml:space="preserve">On the </w:t>
            </w:r>
            <w:r w:rsidR="00CE17C8">
              <w:t>ground</w:t>
            </w:r>
            <w:r>
              <w:t xml:space="preserve"> of Art. 70, para. 2, item 3 of the </w:t>
            </w:r>
            <w:r w:rsidR="00CE17C8">
              <w:t>PPA</w:t>
            </w:r>
            <w:r>
              <w:t xml:space="preserve">, a bid will be selected with the criterion for awarding the "optimal quality / price ratio" of the </w:t>
            </w:r>
            <w:r w:rsidR="00CE17C8">
              <w:t>construction</w:t>
            </w:r>
            <w:r>
              <w:t>, according to the following comprehensive assessment (C</w:t>
            </w:r>
            <w:r w:rsidR="00CE17C8">
              <w:rPr>
                <w:lang w:val="bg-BG"/>
              </w:rPr>
              <w:t>А</w:t>
            </w:r>
            <w:r>
              <w:t>):C</w:t>
            </w:r>
            <w:r w:rsidR="00CE17C8">
              <w:rPr>
                <w:lang w:val="bg-BG"/>
              </w:rPr>
              <w:t>А</w:t>
            </w:r>
            <w:r>
              <w:t xml:space="preserve"> = price (85%) + warranty period (10%) + experience of the participant (5%).</w:t>
            </w:r>
          </w:p>
          <w:p w:rsidR="008A2E38" w:rsidRDefault="008A2E38" w:rsidP="008A2E38">
            <w:pPr>
              <w:pStyle w:val="NormalWeb"/>
              <w:spacing w:before="0" w:beforeAutospacing="0" w:after="0" w:afterAutospacing="0"/>
              <w:jc w:val="both"/>
            </w:pPr>
            <w:r>
              <w:t>The following will be required under the future contract:</w:t>
            </w:r>
          </w:p>
          <w:p w:rsidR="008A2E38" w:rsidRDefault="008A2E38" w:rsidP="008A2E38">
            <w:pPr>
              <w:pStyle w:val="NormalWeb"/>
              <w:spacing w:before="0" w:beforeAutospacing="0" w:after="0" w:afterAutospacing="0"/>
              <w:jc w:val="both"/>
            </w:pPr>
            <w:r>
              <w:t xml:space="preserve">A </w:t>
            </w:r>
            <w:r w:rsidR="002660FC" w:rsidRPr="002660FC">
              <w:t>guarantee ensuring the performance of the contract</w:t>
            </w:r>
            <w:r>
              <w:t>, in the amount of 10% of its value, shall be submitted by the selected contractor in one of the forms specified in Art. 111, para. 5 of the Public Procurement Act (amount</w:t>
            </w:r>
            <w:r w:rsidR="002660FC">
              <w:rPr>
                <w:lang w:val="bg-BG"/>
              </w:rPr>
              <w:t xml:space="preserve"> </w:t>
            </w:r>
            <w:r w:rsidR="002660FC" w:rsidRPr="00CD70BA">
              <w:rPr>
                <w:lang w:val="en-GB"/>
              </w:rPr>
              <w:t>of money</w:t>
            </w:r>
            <w:r>
              <w:t>, bank guarantee or insurance).</w:t>
            </w:r>
          </w:p>
          <w:p w:rsidR="001C0856" w:rsidRDefault="008A2E38" w:rsidP="008A2E38">
            <w:pPr>
              <w:pStyle w:val="NormalWeb"/>
              <w:spacing w:before="0" w:beforeAutospacing="0" w:after="0" w:afterAutospacing="0"/>
              <w:jc w:val="both"/>
            </w:pPr>
            <w:r>
              <w:t>A guarantee for the funds provided in advance - up to the amount of the requested advance and any interim payments.</w:t>
            </w:r>
          </w:p>
        </w:tc>
        <w:tc>
          <w:tcPr>
            <w:tcW w:w="4698" w:type="dxa"/>
          </w:tcPr>
          <w:p w:rsidR="001C0856" w:rsidRDefault="00580245" w:rsidP="00D83657">
            <w:pPr>
              <w:pStyle w:val="NormalWeb"/>
              <w:spacing w:before="0" w:beforeAutospacing="0" w:after="0" w:afterAutospacing="0"/>
              <w:jc w:val="both"/>
              <w:rPr>
                <w:rFonts w:eastAsiaTheme="majorEastAsia"/>
                <w:b/>
                <w:bCs/>
                <w:lang w:val="bg-BG"/>
              </w:rPr>
            </w:pPr>
            <w:r w:rsidRPr="00580245">
              <w:rPr>
                <w:rFonts w:eastAsiaTheme="majorEastAsia"/>
                <w:bCs/>
                <w:lang w:val="bg-BG"/>
              </w:rPr>
              <w:t xml:space="preserve">На основание чл. 70, ал. 2, т. 3 ЗОП, </w:t>
            </w:r>
            <w:r w:rsidR="00D83657">
              <w:rPr>
                <w:rFonts w:eastAsiaTheme="majorEastAsia"/>
                <w:bCs/>
                <w:lang w:val="bg-BG"/>
              </w:rPr>
              <w:t xml:space="preserve">ще </w:t>
            </w:r>
            <w:r w:rsidRPr="00580245">
              <w:rPr>
                <w:rFonts w:eastAsiaTheme="majorEastAsia"/>
                <w:bCs/>
                <w:lang w:val="bg-BG"/>
              </w:rPr>
              <w:t xml:space="preserve">се избира оферта с критерий за възлагане „оптимално съотношение качество / цена“ на </w:t>
            </w:r>
            <w:r w:rsidR="00CE17C8">
              <w:rPr>
                <w:rFonts w:eastAsiaTheme="majorEastAsia"/>
                <w:bCs/>
                <w:lang w:val="bg-BG"/>
              </w:rPr>
              <w:t>конструкцията</w:t>
            </w:r>
            <w:r w:rsidRPr="00580245">
              <w:rPr>
                <w:rFonts w:eastAsiaTheme="majorEastAsia"/>
                <w:bCs/>
                <w:lang w:val="bg-BG"/>
              </w:rPr>
              <w:t>, съобразно следната комплексна оценка (КО):</w:t>
            </w:r>
            <w:r w:rsidRPr="00580245">
              <w:rPr>
                <w:rFonts w:eastAsiaTheme="majorEastAsia"/>
                <w:b/>
                <w:bCs/>
                <w:lang w:val="bg-BG"/>
              </w:rPr>
              <w:t>КО = цена</w:t>
            </w:r>
            <w:r>
              <w:rPr>
                <w:rFonts w:eastAsiaTheme="majorEastAsia"/>
                <w:b/>
                <w:bCs/>
                <w:lang w:val="bg-BG"/>
              </w:rPr>
              <w:t xml:space="preserve"> (85%)</w:t>
            </w:r>
            <w:r w:rsidRPr="00580245">
              <w:rPr>
                <w:rFonts w:eastAsiaTheme="majorEastAsia"/>
                <w:b/>
                <w:bCs/>
                <w:lang w:val="bg-BG"/>
              </w:rPr>
              <w:t xml:space="preserve"> + гаранционен срок</w:t>
            </w:r>
            <w:r w:rsidR="00F1488C">
              <w:rPr>
                <w:rFonts w:eastAsiaTheme="majorEastAsia"/>
                <w:b/>
                <w:bCs/>
                <w:lang w:val="bg-BG"/>
              </w:rPr>
              <w:t xml:space="preserve"> (10%)</w:t>
            </w:r>
            <w:r w:rsidRPr="00580245">
              <w:rPr>
                <w:rFonts w:eastAsiaTheme="majorEastAsia"/>
                <w:b/>
                <w:bCs/>
                <w:lang w:val="bg-BG"/>
              </w:rPr>
              <w:t xml:space="preserve"> + опит на участника</w:t>
            </w:r>
            <w:r w:rsidR="00F1488C">
              <w:rPr>
                <w:rFonts w:eastAsiaTheme="majorEastAsia"/>
                <w:b/>
                <w:bCs/>
                <w:lang w:val="bg-BG"/>
              </w:rPr>
              <w:t xml:space="preserve"> (5%)</w:t>
            </w:r>
            <w:r w:rsidR="00D83657">
              <w:rPr>
                <w:rFonts w:eastAsiaTheme="majorEastAsia"/>
                <w:b/>
                <w:bCs/>
                <w:lang w:val="bg-BG"/>
              </w:rPr>
              <w:t>.</w:t>
            </w:r>
          </w:p>
          <w:p w:rsidR="00D83657" w:rsidRPr="00D83657" w:rsidRDefault="00D83657" w:rsidP="00D83657">
            <w:pPr>
              <w:pStyle w:val="NormalWeb"/>
              <w:spacing w:before="0" w:beforeAutospacing="0" w:after="0" w:afterAutospacing="0"/>
              <w:jc w:val="both"/>
              <w:rPr>
                <w:rFonts w:eastAsiaTheme="majorEastAsia"/>
                <w:b/>
                <w:bCs/>
                <w:lang w:val="bg-BG"/>
              </w:rPr>
            </w:pPr>
            <w:r>
              <w:rPr>
                <w:rFonts w:eastAsiaTheme="majorEastAsia"/>
                <w:b/>
                <w:bCs/>
                <w:lang w:val="bg-BG"/>
              </w:rPr>
              <w:t>По бъдещия договор ще се изискват:</w:t>
            </w:r>
          </w:p>
          <w:p w:rsidR="00D83657" w:rsidRPr="00D83657" w:rsidRDefault="00D83657" w:rsidP="00D83657">
            <w:pPr>
              <w:pStyle w:val="NormalWeb"/>
              <w:spacing w:before="0" w:beforeAutospacing="0" w:after="0" w:afterAutospacing="0"/>
              <w:jc w:val="both"/>
              <w:rPr>
                <w:rFonts w:eastAsiaTheme="majorEastAsia"/>
                <w:bCs/>
                <w:lang w:val="bg-BG"/>
              </w:rPr>
            </w:pPr>
            <w:r w:rsidRPr="00D83657">
              <w:rPr>
                <w:rFonts w:eastAsiaTheme="majorEastAsia"/>
                <w:b/>
                <w:bCs/>
                <w:lang w:val="bg-BG"/>
              </w:rPr>
              <w:t>Гаранция, обезпечаваща изпълнението на договора, в размер на 10</w:t>
            </w:r>
            <w:r>
              <w:rPr>
                <w:rFonts w:eastAsiaTheme="majorEastAsia"/>
                <w:b/>
                <w:bCs/>
                <w:lang w:val="bg-BG"/>
              </w:rPr>
              <w:t>%</w:t>
            </w:r>
            <w:r w:rsidRPr="00D83657">
              <w:rPr>
                <w:rFonts w:eastAsiaTheme="majorEastAsia"/>
                <w:bCs/>
                <w:lang w:val="bg-BG"/>
              </w:rPr>
              <w:t xml:space="preserve"> от стойността му се представя от избрания изпълнител в една от формите посочени в чл. 111, ал. 5 от ЗОП (парична сума, банкова гаранция или застраховка).</w:t>
            </w:r>
          </w:p>
          <w:p w:rsidR="00D83657" w:rsidRPr="00D83657" w:rsidRDefault="00D83657" w:rsidP="00D01A0E">
            <w:pPr>
              <w:pStyle w:val="NormalWeb"/>
              <w:spacing w:before="0" w:beforeAutospacing="0" w:after="0" w:afterAutospacing="0"/>
              <w:jc w:val="both"/>
              <w:rPr>
                <w:rStyle w:val="Strong"/>
                <w:rFonts w:eastAsiaTheme="majorEastAsia"/>
                <w:b w:val="0"/>
                <w:lang w:val="bg-BG"/>
              </w:rPr>
            </w:pPr>
            <w:r w:rsidRPr="00D83657">
              <w:rPr>
                <w:rFonts w:eastAsiaTheme="majorEastAsia"/>
                <w:b/>
                <w:bCs/>
                <w:lang w:val="bg-BG"/>
              </w:rPr>
              <w:t>Гаранция за авансово предоставените средства – до размера на поискания аванс</w:t>
            </w:r>
            <w:r w:rsidRPr="00D83657">
              <w:rPr>
                <w:rFonts w:eastAsiaTheme="majorEastAsia"/>
                <w:b/>
                <w:bCs/>
              </w:rPr>
              <w:t xml:space="preserve"> </w:t>
            </w:r>
            <w:r w:rsidRPr="00D83657">
              <w:rPr>
                <w:rFonts w:eastAsiaTheme="majorEastAsia"/>
                <w:b/>
                <w:bCs/>
                <w:lang w:val="bg-BG"/>
              </w:rPr>
              <w:t>и евентуалн</w:t>
            </w:r>
            <w:r>
              <w:rPr>
                <w:rFonts w:eastAsiaTheme="majorEastAsia"/>
                <w:b/>
                <w:bCs/>
                <w:lang w:val="bg-BG"/>
              </w:rPr>
              <w:t>и</w:t>
            </w:r>
            <w:r w:rsidRPr="00D83657">
              <w:rPr>
                <w:rFonts w:eastAsiaTheme="majorEastAsia"/>
                <w:b/>
                <w:bCs/>
                <w:lang w:val="bg-BG"/>
              </w:rPr>
              <w:t xml:space="preserve"> междинни </w:t>
            </w:r>
            <w:r w:rsidR="00CD70BA" w:rsidRPr="00D83657">
              <w:rPr>
                <w:rFonts w:eastAsiaTheme="majorEastAsia"/>
                <w:b/>
                <w:bCs/>
                <w:lang w:val="bg-BG"/>
              </w:rPr>
              <w:t>плащан</w:t>
            </w:r>
            <w:r w:rsidR="00CD70BA">
              <w:rPr>
                <w:rFonts w:eastAsiaTheme="majorEastAsia"/>
                <w:b/>
                <w:bCs/>
                <w:lang w:val="bg-BG"/>
              </w:rPr>
              <w:t>ия</w:t>
            </w:r>
            <w:r>
              <w:rPr>
                <w:rFonts w:eastAsiaTheme="majorEastAsia"/>
                <w:b/>
                <w:bCs/>
                <w:lang w:val="bg-BG"/>
              </w:rPr>
              <w:t>.</w:t>
            </w:r>
          </w:p>
        </w:tc>
      </w:tr>
      <w:tr w:rsidR="00852D24" w:rsidTr="00623D1B">
        <w:tc>
          <w:tcPr>
            <w:tcW w:w="4698" w:type="dxa"/>
          </w:tcPr>
          <w:p w:rsidR="00D35432" w:rsidRDefault="00D35432" w:rsidP="00D35432">
            <w:pPr>
              <w:pStyle w:val="NormalWeb"/>
              <w:spacing w:before="60" w:beforeAutospacing="0" w:after="0" w:afterAutospacing="0"/>
            </w:pPr>
            <w:r>
              <w:t>Please include in your offer:</w:t>
            </w:r>
          </w:p>
          <w:p w:rsidR="00D35432" w:rsidRDefault="00D35432" w:rsidP="00D35432">
            <w:pPr>
              <w:pStyle w:val="NormalWeb"/>
              <w:numPr>
                <w:ilvl w:val="0"/>
                <w:numId w:val="1"/>
              </w:numPr>
              <w:spacing w:before="60" w:beforeAutospacing="0" w:after="0" w:afterAutospacing="0"/>
            </w:pPr>
            <w:r>
              <w:t>technical description, layout and guaranteed aerodynamic parameters,</w:t>
            </w:r>
          </w:p>
          <w:p w:rsidR="00D35432" w:rsidRDefault="00D35432" w:rsidP="00D35432">
            <w:pPr>
              <w:pStyle w:val="NormalWeb"/>
              <w:numPr>
                <w:ilvl w:val="0"/>
                <w:numId w:val="1"/>
              </w:numPr>
              <w:spacing w:before="60" w:beforeAutospacing="0" w:after="0" w:afterAutospacing="0"/>
            </w:pPr>
            <w:r>
              <w:t>price proposal (design, construction, installation, training),</w:t>
            </w:r>
          </w:p>
          <w:p w:rsidR="00D35432" w:rsidRDefault="00D35432" w:rsidP="00D35432">
            <w:pPr>
              <w:pStyle w:val="NormalWeb"/>
              <w:numPr>
                <w:ilvl w:val="0"/>
                <w:numId w:val="1"/>
              </w:numPr>
              <w:spacing w:before="60" w:beforeAutospacing="0" w:after="0" w:afterAutospacing="0"/>
            </w:pPr>
            <w:r>
              <w:t>lead time from contract signature,</w:t>
            </w:r>
          </w:p>
          <w:p w:rsidR="00D35432" w:rsidRDefault="00D35432" w:rsidP="00D35432">
            <w:pPr>
              <w:pStyle w:val="NormalWeb"/>
              <w:numPr>
                <w:ilvl w:val="0"/>
                <w:numId w:val="1"/>
              </w:numPr>
              <w:spacing w:before="60" w:beforeAutospacing="0" w:after="0" w:afterAutospacing="0"/>
            </w:pPr>
            <w:r>
              <w:t>warranty and after-sales conditions,</w:t>
            </w:r>
          </w:p>
          <w:p w:rsidR="00D35432" w:rsidRDefault="00D35432" w:rsidP="00D377E2">
            <w:pPr>
              <w:pStyle w:val="NormalWeb"/>
              <w:numPr>
                <w:ilvl w:val="0"/>
                <w:numId w:val="1"/>
              </w:numPr>
              <w:tabs>
                <w:tab w:val="clear" w:pos="720"/>
              </w:tabs>
              <w:spacing w:before="60" w:beforeAutospacing="0" w:after="0" w:afterAutospacing="0"/>
              <w:ind w:left="22" w:firstLine="338"/>
            </w:pPr>
            <w:r>
              <w:t xml:space="preserve">references for similar </w:t>
            </w:r>
            <w:r w:rsidR="00D377E2">
              <w:t>constructio</w:t>
            </w:r>
            <w:r>
              <w:t>ns</w:t>
            </w:r>
            <w:r w:rsidR="00D377E2" w:rsidRPr="00D377E2">
              <w:rPr>
                <w:lang w:val="bg-BG"/>
              </w:rPr>
              <w:t>.</w:t>
            </w:r>
            <w:r>
              <w:t xml:space="preserve"> We would appreciate receiving your proposal by </w:t>
            </w:r>
            <w:r w:rsidRPr="00D377E2">
              <w:rPr>
                <w:rStyle w:val="Strong"/>
                <w:rFonts w:eastAsiaTheme="majorEastAsia"/>
              </w:rPr>
              <w:t>1</w:t>
            </w:r>
            <w:r w:rsidR="007014E7">
              <w:rPr>
                <w:rStyle w:val="Strong"/>
                <w:rFonts w:eastAsiaTheme="majorEastAsia"/>
                <w:lang w:val="bg-BG"/>
              </w:rPr>
              <w:t>7</w:t>
            </w:r>
            <w:r w:rsidRPr="00D377E2">
              <w:rPr>
                <w:rStyle w:val="Strong"/>
                <w:rFonts w:eastAsiaTheme="majorEastAsia"/>
              </w:rPr>
              <w:t xml:space="preserve"> December 2025</w:t>
            </w:r>
            <w:r>
              <w:t>.</w:t>
            </w:r>
            <w:r>
              <w:br/>
              <w:t>Should you require any clarification, please do not hesitate to contact me directly.</w:t>
            </w:r>
          </w:p>
          <w:p w:rsidR="00D35432" w:rsidRPr="008903C4" w:rsidRDefault="00D35432" w:rsidP="00D35432">
            <w:pPr>
              <w:pStyle w:val="NormalWeb"/>
              <w:spacing w:before="60" w:beforeAutospacing="0" w:after="0" w:afterAutospacing="0"/>
            </w:pPr>
            <w:r>
              <w:t>Thank you for your kind attention and cooperation.</w:t>
            </w:r>
            <w:r>
              <w:br/>
              <w:t>We look forward to your reply</w:t>
            </w:r>
            <w:r w:rsidR="008903C4">
              <w:t xml:space="preserve"> by e-mail:</w:t>
            </w:r>
          </w:p>
          <w:p w:rsidR="00852D24" w:rsidRDefault="00B2486D" w:rsidP="008903C4">
            <w:pPr>
              <w:pStyle w:val="NormalWeb"/>
              <w:spacing w:before="60" w:beforeAutospacing="0" w:after="0" w:afterAutospacing="0"/>
            </w:pPr>
            <w:hyperlink r:id="rId10" w:history="1">
              <w:r w:rsidR="00870C68" w:rsidRPr="00FE652D">
                <w:rPr>
                  <w:rStyle w:val="Hyperlink"/>
                </w:rPr>
                <w:t>office@bshc.bg</w:t>
              </w:r>
            </w:hyperlink>
            <w:r w:rsidR="00870C68">
              <w:t xml:space="preserve"> </w:t>
            </w:r>
          </w:p>
        </w:tc>
        <w:tc>
          <w:tcPr>
            <w:tcW w:w="4698" w:type="dxa"/>
          </w:tcPr>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Моля, включете във вашата оферта:</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техническо описание, оформление и гарантирани аеродинамични параметри,</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ценово предложение (проектиране, строителство, монтаж, обучение),</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срок за изпълнение от подписване на договора,</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гаранционни и след</w:t>
            </w:r>
            <w:r w:rsidR="00870C68">
              <w:rPr>
                <w:rStyle w:val="Strong"/>
                <w:rFonts w:eastAsiaTheme="majorEastAsia"/>
                <w:b w:val="0"/>
                <w:lang w:val="bg-BG"/>
              </w:rPr>
              <w:t>гаранцион</w:t>
            </w:r>
            <w:r w:rsidRPr="008903C4">
              <w:rPr>
                <w:rStyle w:val="Strong"/>
                <w:rFonts w:eastAsiaTheme="majorEastAsia"/>
                <w:b w:val="0"/>
                <w:lang w:val="bg-BG"/>
              </w:rPr>
              <w:t>ни условия,</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xml:space="preserve">• референции за подобни </w:t>
            </w:r>
            <w:r w:rsidR="00D377E2">
              <w:rPr>
                <w:rStyle w:val="Strong"/>
                <w:rFonts w:eastAsiaTheme="majorEastAsia"/>
                <w:b w:val="0"/>
                <w:lang w:val="bg-BG"/>
              </w:rPr>
              <w:t>конструк</w:t>
            </w:r>
            <w:r w:rsidRPr="008903C4">
              <w:rPr>
                <w:rStyle w:val="Strong"/>
                <w:rFonts w:eastAsiaTheme="majorEastAsia"/>
                <w:b w:val="0"/>
                <w:lang w:val="bg-BG"/>
              </w:rPr>
              <w:t>ции</w:t>
            </w:r>
            <w:r w:rsidR="00D377E2">
              <w:rPr>
                <w:rStyle w:val="Strong"/>
                <w:rFonts w:eastAsiaTheme="majorEastAsia"/>
                <w:b w:val="0"/>
                <w:lang w:val="bg-BG"/>
              </w:rPr>
              <w:t>.</w:t>
            </w:r>
            <w:r w:rsidRPr="008903C4">
              <w:rPr>
                <w:rStyle w:val="Strong"/>
                <w:rFonts w:eastAsiaTheme="majorEastAsia"/>
                <w:b w:val="0"/>
                <w:lang w:val="bg-BG"/>
              </w:rPr>
              <w:t xml:space="preserve"> </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 xml:space="preserve">Ще се радваме да получим вашето предложение </w:t>
            </w:r>
            <w:r w:rsidRPr="00870C68">
              <w:rPr>
                <w:rStyle w:val="Strong"/>
                <w:rFonts w:eastAsiaTheme="majorEastAsia"/>
                <w:lang w:val="bg-BG"/>
              </w:rPr>
              <w:t>до 1</w:t>
            </w:r>
            <w:r w:rsidR="007014E7">
              <w:rPr>
                <w:rStyle w:val="Strong"/>
                <w:rFonts w:eastAsiaTheme="majorEastAsia"/>
                <w:lang w:val="bg-BG"/>
              </w:rPr>
              <w:t>7</w:t>
            </w:r>
            <w:r w:rsidRPr="00870C68">
              <w:rPr>
                <w:rStyle w:val="Strong"/>
                <w:rFonts w:eastAsiaTheme="majorEastAsia"/>
                <w:lang w:val="bg-BG"/>
              </w:rPr>
              <w:t xml:space="preserve"> декември 2025 г</w:t>
            </w:r>
            <w:r w:rsidRPr="008903C4">
              <w:rPr>
                <w:rStyle w:val="Strong"/>
                <w:rFonts w:eastAsiaTheme="majorEastAsia"/>
                <w:b w:val="0"/>
                <w:lang w:val="bg-BG"/>
              </w:rPr>
              <w:t>.</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Ако имате нужда от разяснения, моля не се колебайте да се свържете директно.</w:t>
            </w:r>
          </w:p>
          <w:p w:rsidR="008903C4" w:rsidRPr="008903C4" w:rsidRDefault="008903C4" w:rsidP="008903C4">
            <w:pPr>
              <w:pStyle w:val="NormalWeb"/>
              <w:spacing w:before="60" w:beforeAutospacing="0" w:after="0" w:afterAutospacing="0"/>
              <w:rPr>
                <w:rStyle w:val="Strong"/>
                <w:rFonts w:eastAsiaTheme="majorEastAsia"/>
                <w:b w:val="0"/>
                <w:lang w:val="bg-BG"/>
              </w:rPr>
            </w:pPr>
            <w:r w:rsidRPr="008903C4">
              <w:rPr>
                <w:rStyle w:val="Strong"/>
                <w:rFonts w:eastAsiaTheme="majorEastAsia"/>
                <w:b w:val="0"/>
                <w:lang w:val="bg-BG"/>
              </w:rPr>
              <w:t>Благодарим ви за любезното внимание и съдействие.</w:t>
            </w:r>
          </w:p>
          <w:p w:rsidR="00852D24" w:rsidRPr="008903C4" w:rsidRDefault="008903C4" w:rsidP="008903C4">
            <w:pPr>
              <w:pStyle w:val="NormalWeb"/>
              <w:spacing w:before="60" w:beforeAutospacing="0" w:after="0" w:afterAutospacing="0"/>
              <w:rPr>
                <w:rStyle w:val="Strong"/>
                <w:rFonts w:eastAsiaTheme="majorEastAsia"/>
                <w:b w:val="0"/>
              </w:rPr>
            </w:pPr>
            <w:r w:rsidRPr="008903C4">
              <w:rPr>
                <w:rStyle w:val="Strong"/>
                <w:rFonts w:eastAsiaTheme="majorEastAsia"/>
                <w:b w:val="0"/>
                <w:lang w:val="bg-BG"/>
              </w:rPr>
              <w:t>Очакваме с нетърпение вашия отговор по имейл:</w:t>
            </w:r>
            <w:r>
              <w:rPr>
                <w:rStyle w:val="Strong"/>
                <w:rFonts w:eastAsiaTheme="majorEastAsia"/>
                <w:b w:val="0"/>
              </w:rPr>
              <w:t xml:space="preserve"> </w:t>
            </w:r>
            <w:hyperlink r:id="rId11" w:history="1">
              <w:r w:rsidR="00870C68" w:rsidRPr="00FE652D">
                <w:rPr>
                  <w:rStyle w:val="Hyperlink"/>
                  <w:rFonts w:eastAsiaTheme="majorEastAsia"/>
                </w:rPr>
                <w:t>office@bshc.bg</w:t>
              </w:r>
            </w:hyperlink>
            <w:r w:rsidR="00870C68">
              <w:rPr>
                <w:rStyle w:val="Strong"/>
                <w:rFonts w:eastAsiaTheme="majorEastAsia"/>
                <w:b w:val="0"/>
              </w:rPr>
              <w:t xml:space="preserve"> </w:t>
            </w:r>
          </w:p>
        </w:tc>
      </w:tr>
    </w:tbl>
    <w:p w:rsidR="002C6951" w:rsidRDefault="002C6951"/>
    <w:sectPr w:rsidR="002C6951" w:rsidSect="00A719CA">
      <w:headerReference w:type="default" r:id="rId12"/>
      <w:footerReference w:type="default" r:id="rId13"/>
      <w:pgSz w:w="12240" w:h="15840"/>
      <w:pgMar w:top="1417" w:right="1417" w:bottom="1417" w:left="141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6D" w:rsidRDefault="00B2486D" w:rsidP="00A719CA">
      <w:pPr>
        <w:spacing w:after="0" w:line="240" w:lineRule="auto"/>
      </w:pPr>
      <w:r>
        <w:separator/>
      </w:r>
    </w:p>
  </w:endnote>
  <w:endnote w:type="continuationSeparator" w:id="0">
    <w:p w:rsidR="00B2486D" w:rsidRDefault="00B2486D" w:rsidP="00A7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CA" w:rsidRPr="009F258B" w:rsidRDefault="00A719CA" w:rsidP="00A719CA">
    <w:pPr>
      <w:tabs>
        <w:tab w:val="center" w:pos="4536"/>
        <w:tab w:val="right" w:pos="9072"/>
      </w:tabs>
      <w:spacing w:line="240" w:lineRule="auto"/>
      <w:jc w:val="center"/>
      <w:rPr>
        <w:i/>
        <w:sz w:val="20"/>
        <w:szCs w:val="20"/>
        <w:lang w:val="x-none" w:eastAsia="x-none"/>
      </w:rPr>
    </w:pPr>
    <w:r w:rsidRPr="009F258B">
      <w:rPr>
        <w:i/>
        <w:noProof/>
        <w:sz w:val="22"/>
      </w:rPr>
      <mc:AlternateContent>
        <mc:Choice Requires="wps">
          <w:drawing>
            <wp:anchor distT="0" distB="0" distL="114300" distR="114300" simplePos="0" relativeHeight="251660288" behindDoc="0" locked="0" layoutInCell="1" allowOverlap="1" wp14:anchorId="474A9C3C" wp14:editId="1458782D">
              <wp:simplePos x="0" y="0"/>
              <wp:positionH relativeFrom="column">
                <wp:posOffset>3773170</wp:posOffset>
              </wp:positionH>
              <wp:positionV relativeFrom="paragraph">
                <wp:posOffset>105410</wp:posOffset>
              </wp:positionV>
              <wp:extent cx="2582545" cy="635"/>
              <wp:effectExtent l="10795" t="10160" r="6985"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2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03916" id="_x0000_t32" coordsize="21600,21600" o:spt="32" o:oned="t" path="m,l21600,21600e" filled="f">
              <v:path arrowok="t" fillok="f" o:connecttype="none"/>
              <o:lock v:ext="edit" shapetype="t"/>
            </v:shapetype>
            <v:shape id="Straight Arrow Connector 8" o:spid="_x0000_s1026" type="#_x0000_t32" style="position:absolute;margin-left:297.1pt;margin-top:8.3pt;width:203.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"/>
          </w:pict>
        </mc:Fallback>
      </mc:AlternateContent>
    </w:r>
    <w:r w:rsidRPr="009F258B">
      <w:rPr>
        <w:i/>
        <w:noProof/>
        <w:sz w:val="22"/>
      </w:rPr>
      <mc:AlternateContent>
        <mc:Choice Requires="wps">
          <w:drawing>
            <wp:anchor distT="0" distB="0" distL="114300" distR="114300" simplePos="0" relativeHeight="251659264" behindDoc="0" locked="0" layoutInCell="1" allowOverlap="1" wp14:anchorId="210709AD" wp14:editId="260AF596">
              <wp:simplePos x="0" y="0"/>
              <wp:positionH relativeFrom="column">
                <wp:posOffset>8255</wp:posOffset>
              </wp:positionH>
              <wp:positionV relativeFrom="paragraph">
                <wp:posOffset>105410</wp:posOffset>
              </wp:positionV>
              <wp:extent cx="2677160" cy="635"/>
              <wp:effectExtent l="8255" t="10160" r="1016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BCD02" id="Straight Arrow Connector 7" o:spid="_x0000_s1026" type="#_x0000_t32" style="position:absolute;margin-left:.65pt;margin-top:8.3pt;width:210.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"/>
          </w:pict>
        </mc:Fallback>
      </mc:AlternateContent>
    </w:r>
    <w:hyperlink r:id="rId1">
      <w:r w:rsidRPr="009F258B">
        <w:rPr>
          <w:i/>
          <w:sz w:val="22"/>
          <w:lang w:val="x-none" w:eastAsia="x-none"/>
        </w:rPr>
        <w:t xml:space="preserve"> </w:t>
      </w:r>
    </w:hyperlink>
    <w:hyperlink r:id="rId2">
      <w:r w:rsidRPr="009F258B">
        <w:rPr>
          <w:i/>
          <w:color w:val="0000FF"/>
          <w:sz w:val="20"/>
          <w:szCs w:val="20"/>
          <w:u w:val="single" w:color="0000FF"/>
          <w:lang w:val="x-none" w:eastAsia="x-none"/>
        </w:rPr>
        <w:t>www</w:t>
      </w:r>
    </w:hyperlink>
    <w:hyperlink r:id="rId3">
      <w:r w:rsidRPr="009F258B">
        <w:rPr>
          <w:i/>
          <w:color w:val="0000FF"/>
          <w:sz w:val="20"/>
          <w:szCs w:val="20"/>
          <w:u w:val="single" w:color="0000FF"/>
          <w:lang w:val="x-none" w:eastAsia="x-none"/>
        </w:rPr>
        <w:t>.</w:t>
      </w:r>
    </w:hyperlink>
    <w:hyperlink r:id="rId4">
      <w:r w:rsidRPr="009F258B">
        <w:rPr>
          <w:i/>
          <w:color w:val="0000FF"/>
          <w:sz w:val="20"/>
          <w:szCs w:val="20"/>
          <w:u w:val="single" w:color="0000FF"/>
          <w:lang w:val="x-none" w:eastAsia="x-none"/>
        </w:rPr>
        <w:t>eufunds</w:t>
      </w:r>
    </w:hyperlink>
    <w:hyperlink r:id="rId5">
      <w:r w:rsidRPr="009F258B">
        <w:rPr>
          <w:i/>
          <w:color w:val="0000FF"/>
          <w:sz w:val="20"/>
          <w:szCs w:val="20"/>
          <w:u w:val="single" w:color="0000FF"/>
          <w:lang w:val="x-none" w:eastAsia="x-none"/>
        </w:rPr>
        <w:t>.</w:t>
      </w:r>
    </w:hyperlink>
    <w:hyperlink r:id="rId6">
      <w:r w:rsidRPr="009F258B">
        <w:rPr>
          <w:i/>
          <w:color w:val="0000FF"/>
          <w:sz w:val="20"/>
          <w:szCs w:val="20"/>
          <w:u w:val="single" w:color="0000FF"/>
          <w:lang w:val="x-none" w:eastAsia="x-none"/>
        </w:rPr>
        <w:t>bg</w:t>
      </w:r>
    </w:hyperlink>
  </w:p>
  <w:p w:rsidR="00A719CA" w:rsidRPr="009F258B" w:rsidRDefault="00A719CA" w:rsidP="00A719CA">
    <w:pPr>
      <w:tabs>
        <w:tab w:val="center" w:pos="4536"/>
        <w:tab w:val="right" w:pos="9072"/>
      </w:tabs>
      <w:spacing w:line="240" w:lineRule="auto"/>
      <w:jc w:val="both"/>
      <w:rPr>
        <w:i/>
        <w:color w:val="A6A6A6"/>
        <w:sz w:val="16"/>
        <w:szCs w:val="16"/>
        <w:lang w:eastAsia="x-none"/>
      </w:rPr>
    </w:pPr>
    <w:proofErr w:type="spellStart"/>
    <w:r w:rsidRPr="009F258B">
      <w:rPr>
        <w:i/>
        <w:color w:val="A6A6A6"/>
        <w:sz w:val="16"/>
        <w:szCs w:val="16"/>
        <w:lang w:eastAsia="x-none"/>
      </w:rPr>
      <w:t>Проект</w:t>
    </w:r>
    <w:proofErr w:type="spellEnd"/>
    <w:r w:rsidRPr="009F258B">
      <w:rPr>
        <w:i/>
        <w:color w:val="A6A6A6"/>
        <w:sz w:val="16"/>
        <w:szCs w:val="16"/>
        <w:lang w:eastAsia="x-none"/>
      </w:rPr>
      <w:t xml:space="preserve"> № </w:t>
    </w:r>
    <w:r w:rsidRPr="009F258B">
      <w:rPr>
        <w:i/>
        <w:color w:val="A6A6A6"/>
        <w:sz w:val="16"/>
        <w:szCs w:val="16"/>
        <w:lang w:val="x-none" w:eastAsia="x-none"/>
      </w:rPr>
      <w:t>BG16RFPR002-1.014-0016</w:t>
    </w:r>
    <w:r w:rsidRPr="009F258B">
      <w:rPr>
        <w:i/>
        <w:color w:val="A6A6A6"/>
        <w:sz w:val="16"/>
        <w:szCs w:val="16"/>
        <w:lang w:eastAsia="x-none"/>
      </w:rPr>
      <w:t xml:space="preserve">, </w:t>
    </w:r>
    <w:proofErr w:type="spellStart"/>
    <w:r w:rsidRPr="009F258B">
      <w:rPr>
        <w:i/>
        <w:color w:val="A6A6A6"/>
        <w:sz w:val="16"/>
        <w:szCs w:val="16"/>
        <w:lang w:eastAsia="x-none"/>
      </w:rPr>
      <w:t>Център</w:t>
    </w:r>
    <w:proofErr w:type="spellEnd"/>
    <w:r w:rsidRPr="009F258B">
      <w:rPr>
        <w:i/>
        <w:color w:val="A6A6A6"/>
        <w:sz w:val="16"/>
        <w:szCs w:val="16"/>
        <w:lang w:eastAsia="x-none"/>
      </w:rPr>
      <w:t xml:space="preserve"> </w:t>
    </w:r>
    <w:proofErr w:type="spellStart"/>
    <w:r w:rsidRPr="009F258B">
      <w:rPr>
        <w:i/>
        <w:color w:val="A6A6A6"/>
        <w:sz w:val="16"/>
        <w:szCs w:val="16"/>
        <w:lang w:eastAsia="x-none"/>
      </w:rPr>
      <w:t>за</w:t>
    </w:r>
    <w:proofErr w:type="spellEnd"/>
    <w:r w:rsidRPr="009F258B">
      <w:rPr>
        <w:i/>
        <w:color w:val="A6A6A6"/>
        <w:sz w:val="16"/>
        <w:szCs w:val="16"/>
        <w:lang w:eastAsia="x-none"/>
      </w:rPr>
      <w:t xml:space="preserve"> </w:t>
    </w:r>
    <w:proofErr w:type="spellStart"/>
    <w:r w:rsidRPr="009F258B">
      <w:rPr>
        <w:i/>
        <w:color w:val="A6A6A6"/>
        <w:sz w:val="16"/>
        <w:szCs w:val="16"/>
        <w:lang w:eastAsia="x-none"/>
      </w:rPr>
      <w:t>Компетентност</w:t>
    </w:r>
    <w:proofErr w:type="spellEnd"/>
    <w:r w:rsidRPr="009F258B">
      <w:rPr>
        <w:color w:val="A6A6A6"/>
        <w:sz w:val="16"/>
        <w:szCs w:val="16"/>
        <w:shd w:val="clear" w:color="auto" w:fill="FFFFFF"/>
        <w:lang w:eastAsia="bg-BG"/>
      </w:rPr>
      <w:t xml:space="preserve"> </w:t>
    </w:r>
    <w:r w:rsidRPr="009F258B">
      <w:rPr>
        <w:color w:val="A6A6A6"/>
        <w:sz w:val="16"/>
        <w:szCs w:val="16"/>
        <w:shd w:val="clear" w:color="auto" w:fill="FFFFFF"/>
        <w:lang w:val="ru-RU" w:eastAsia="bg-BG"/>
      </w:rPr>
      <w:t>“</w:t>
    </w:r>
    <w:proofErr w:type="spellStart"/>
    <w:r w:rsidRPr="009F258B">
      <w:rPr>
        <w:b/>
        <w:bCs/>
        <w:i/>
        <w:color w:val="A6A6A6"/>
        <w:sz w:val="16"/>
        <w:szCs w:val="16"/>
        <w:lang w:eastAsia="x-none"/>
      </w:rPr>
      <w:t>Синьо</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иновативно</w:t>
    </w:r>
    <w:proofErr w:type="spellEnd"/>
    <w:r w:rsidRPr="009F258B">
      <w:rPr>
        <w:b/>
        <w:bCs/>
        <w:i/>
        <w:color w:val="A6A6A6"/>
        <w:sz w:val="16"/>
        <w:szCs w:val="16"/>
        <w:lang w:eastAsia="x-none"/>
      </w:rPr>
      <w:t xml:space="preserve"> и </w:t>
    </w:r>
    <w:proofErr w:type="spellStart"/>
    <w:r w:rsidRPr="009F258B">
      <w:rPr>
        <w:b/>
        <w:bCs/>
        <w:i/>
        <w:color w:val="A6A6A6"/>
        <w:sz w:val="16"/>
        <w:szCs w:val="16"/>
        <w:lang w:eastAsia="x-none"/>
      </w:rPr>
      <w:t>устойчиво</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управление</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на</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крайбрежната</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морска</w:t>
    </w:r>
    <w:proofErr w:type="spellEnd"/>
    <w:r w:rsidRPr="009F258B">
      <w:rPr>
        <w:b/>
        <w:bCs/>
        <w:i/>
        <w:color w:val="A6A6A6"/>
        <w:sz w:val="16"/>
        <w:szCs w:val="16"/>
        <w:lang w:eastAsia="x-none"/>
      </w:rPr>
      <w:t xml:space="preserve"> и </w:t>
    </w:r>
    <w:proofErr w:type="spellStart"/>
    <w:r w:rsidRPr="009F258B">
      <w:rPr>
        <w:b/>
        <w:bCs/>
        <w:i/>
        <w:color w:val="A6A6A6"/>
        <w:sz w:val="16"/>
        <w:szCs w:val="16"/>
        <w:lang w:eastAsia="x-none"/>
      </w:rPr>
      <w:t>речна</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околна</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среда</w:t>
    </w:r>
    <w:proofErr w:type="spellEnd"/>
    <w:r w:rsidRPr="009F258B">
      <w:rPr>
        <w:b/>
        <w:bCs/>
        <w:i/>
        <w:color w:val="A6A6A6"/>
        <w:sz w:val="16"/>
        <w:szCs w:val="16"/>
        <w:lang w:eastAsia="x-none"/>
      </w:rPr>
      <w:t xml:space="preserve"> и </w:t>
    </w:r>
    <w:proofErr w:type="spellStart"/>
    <w:r w:rsidRPr="009F258B">
      <w:rPr>
        <w:b/>
        <w:bCs/>
        <w:i/>
        <w:color w:val="A6A6A6"/>
        <w:sz w:val="16"/>
        <w:szCs w:val="16"/>
        <w:lang w:eastAsia="x-none"/>
      </w:rPr>
      <w:t>ресурси</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Блу</w:t>
    </w:r>
    <w:proofErr w:type="spellEnd"/>
    <w:r w:rsidRPr="009F258B">
      <w:rPr>
        <w:b/>
        <w:bCs/>
        <w:i/>
        <w:color w:val="A6A6A6"/>
        <w:sz w:val="16"/>
        <w:szCs w:val="16"/>
        <w:lang w:eastAsia="x-none"/>
      </w:rPr>
      <w:t xml:space="preserve"> </w:t>
    </w:r>
    <w:proofErr w:type="spellStart"/>
    <w:r w:rsidRPr="009F258B">
      <w:rPr>
        <w:b/>
        <w:bCs/>
        <w:i/>
        <w:color w:val="A6A6A6"/>
        <w:sz w:val="16"/>
        <w:szCs w:val="16"/>
        <w:lang w:eastAsia="x-none"/>
      </w:rPr>
      <w:t>Кристал</w:t>
    </w:r>
    <w:proofErr w:type="spellEnd"/>
    <w:r w:rsidRPr="009F258B">
      <w:rPr>
        <w:b/>
        <w:bCs/>
        <w:i/>
        <w:color w:val="A6A6A6"/>
        <w:sz w:val="16"/>
        <w:szCs w:val="16"/>
        <w:lang w:val="ru-RU" w:eastAsia="x-none"/>
      </w:rPr>
      <w:t>)”,</w:t>
    </w:r>
    <w:r w:rsidRPr="009F258B">
      <w:rPr>
        <w:i/>
        <w:color w:val="A6A6A6"/>
        <w:sz w:val="16"/>
        <w:szCs w:val="16"/>
        <w:lang w:val="ru-RU" w:eastAsia="x-none"/>
      </w:rPr>
      <w:t xml:space="preserve"> </w:t>
    </w:r>
    <w:proofErr w:type="spellStart"/>
    <w:r w:rsidRPr="009F258B">
      <w:rPr>
        <w:i/>
        <w:color w:val="A6A6A6"/>
        <w:sz w:val="16"/>
        <w:szCs w:val="16"/>
        <w:lang w:eastAsia="x-none"/>
      </w:rPr>
      <w:t>финансиран</w:t>
    </w:r>
    <w:proofErr w:type="spellEnd"/>
    <w:r w:rsidRPr="009F258B">
      <w:rPr>
        <w:i/>
        <w:color w:val="A6A6A6"/>
        <w:sz w:val="16"/>
        <w:szCs w:val="16"/>
        <w:lang w:eastAsia="x-none"/>
      </w:rPr>
      <w:t xml:space="preserve"> </w:t>
    </w:r>
    <w:proofErr w:type="spellStart"/>
    <w:r w:rsidRPr="009F258B">
      <w:rPr>
        <w:i/>
        <w:color w:val="A6A6A6"/>
        <w:sz w:val="16"/>
        <w:szCs w:val="16"/>
        <w:lang w:eastAsia="x-none"/>
      </w:rPr>
      <w:t>от</w:t>
    </w:r>
    <w:proofErr w:type="spellEnd"/>
    <w:r w:rsidRPr="009F258B">
      <w:rPr>
        <w:i/>
        <w:color w:val="A6A6A6"/>
        <w:sz w:val="16"/>
        <w:szCs w:val="16"/>
        <w:lang w:eastAsia="x-none"/>
      </w:rPr>
      <w:t xml:space="preserve"> </w:t>
    </w:r>
    <w:proofErr w:type="spellStart"/>
    <w:r w:rsidRPr="009F258B">
      <w:rPr>
        <w:i/>
        <w:color w:val="A6A6A6"/>
        <w:sz w:val="16"/>
        <w:szCs w:val="16"/>
        <w:lang w:eastAsia="x-none"/>
      </w:rPr>
      <w:t>Оперативна</w:t>
    </w:r>
    <w:proofErr w:type="spellEnd"/>
    <w:r w:rsidRPr="009F258B">
      <w:rPr>
        <w:i/>
        <w:color w:val="A6A6A6"/>
        <w:sz w:val="16"/>
        <w:szCs w:val="16"/>
        <w:lang w:eastAsia="x-none"/>
      </w:rPr>
      <w:t xml:space="preserve"> </w:t>
    </w:r>
    <w:proofErr w:type="spellStart"/>
    <w:r w:rsidRPr="009F258B">
      <w:rPr>
        <w:i/>
        <w:color w:val="A6A6A6"/>
        <w:sz w:val="16"/>
        <w:szCs w:val="16"/>
        <w:lang w:eastAsia="x-none"/>
      </w:rPr>
      <w:t>програма</w:t>
    </w:r>
    <w:proofErr w:type="spellEnd"/>
    <w:r w:rsidRPr="009F258B">
      <w:rPr>
        <w:i/>
        <w:color w:val="A6A6A6"/>
        <w:sz w:val="16"/>
        <w:szCs w:val="16"/>
        <w:lang w:eastAsia="x-none"/>
      </w:rPr>
      <w:t xml:space="preserve"> „</w:t>
    </w:r>
    <w:proofErr w:type="spellStart"/>
    <w:r w:rsidRPr="009F258B">
      <w:rPr>
        <w:i/>
        <w:color w:val="A6A6A6"/>
        <w:sz w:val="16"/>
        <w:szCs w:val="16"/>
        <w:lang w:eastAsia="x-none"/>
      </w:rPr>
      <w:t>Научни</w:t>
    </w:r>
    <w:proofErr w:type="spellEnd"/>
    <w:r w:rsidRPr="009F258B">
      <w:rPr>
        <w:i/>
        <w:color w:val="A6A6A6"/>
        <w:sz w:val="16"/>
        <w:szCs w:val="16"/>
        <w:lang w:eastAsia="x-none"/>
      </w:rPr>
      <w:t xml:space="preserve"> </w:t>
    </w:r>
    <w:proofErr w:type="spellStart"/>
    <w:r w:rsidRPr="009F258B">
      <w:rPr>
        <w:i/>
        <w:color w:val="A6A6A6"/>
        <w:sz w:val="16"/>
        <w:szCs w:val="16"/>
        <w:lang w:eastAsia="x-none"/>
      </w:rPr>
      <w:t>изследвания</w:t>
    </w:r>
    <w:proofErr w:type="spellEnd"/>
    <w:r w:rsidRPr="009F258B">
      <w:rPr>
        <w:i/>
        <w:color w:val="A6A6A6"/>
        <w:sz w:val="16"/>
        <w:szCs w:val="16"/>
        <w:lang w:eastAsia="x-none"/>
      </w:rPr>
      <w:t xml:space="preserve">, </w:t>
    </w:r>
    <w:proofErr w:type="spellStart"/>
    <w:r w:rsidRPr="009F258B">
      <w:rPr>
        <w:i/>
        <w:color w:val="A6A6A6"/>
        <w:sz w:val="16"/>
        <w:szCs w:val="16"/>
        <w:lang w:eastAsia="x-none"/>
      </w:rPr>
      <w:t>иновации</w:t>
    </w:r>
    <w:proofErr w:type="spellEnd"/>
    <w:r w:rsidRPr="009F258B">
      <w:rPr>
        <w:i/>
        <w:color w:val="A6A6A6"/>
        <w:sz w:val="16"/>
        <w:szCs w:val="16"/>
        <w:lang w:eastAsia="x-none"/>
      </w:rPr>
      <w:t xml:space="preserve"> и </w:t>
    </w:r>
    <w:proofErr w:type="spellStart"/>
    <w:r w:rsidRPr="009F258B">
      <w:rPr>
        <w:i/>
        <w:color w:val="A6A6A6"/>
        <w:sz w:val="16"/>
        <w:szCs w:val="16"/>
        <w:lang w:eastAsia="x-none"/>
      </w:rPr>
      <w:t>дигитализация</w:t>
    </w:r>
    <w:proofErr w:type="spellEnd"/>
    <w:r w:rsidRPr="009F258B">
      <w:rPr>
        <w:i/>
        <w:color w:val="A6A6A6"/>
        <w:sz w:val="16"/>
        <w:szCs w:val="16"/>
        <w:lang w:eastAsia="x-none"/>
      </w:rPr>
      <w:t xml:space="preserve"> </w:t>
    </w:r>
    <w:proofErr w:type="spellStart"/>
    <w:r w:rsidRPr="009F258B">
      <w:rPr>
        <w:i/>
        <w:color w:val="A6A6A6"/>
        <w:sz w:val="16"/>
        <w:szCs w:val="16"/>
        <w:lang w:eastAsia="x-none"/>
      </w:rPr>
      <w:t>за</w:t>
    </w:r>
    <w:proofErr w:type="spellEnd"/>
    <w:r w:rsidRPr="009F258B">
      <w:rPr>
        <w:i/>
        <w:color w:val="A6A6A6"/>
        <w:sz w:val="16"/>
        <w:szCs w:val="16"/>
        <w:lang w:eastAsia="x-none"/>
      </w:rPr>
      <w:t xml:space="preserve"> </w:t>
    </w:r>
    <w:proofErr w:type="spellStart"/>
    <w:r w:rsidRPr="009F258B">
      <w:rPr>
        <w:i/>
        <w:color w:val="A6A6A6"/>
        <w:sz w:val="16"/>
        <w:szCs w:val="16"/>
        <w:lang w:eastAsia="x-none"/>
      </w:rPr>
      <w:t>интелигентна</w:t>
    </w:r>
    <w:proofErr w:type="spellEnd"/>
    <w:r w:rsidRPr="009F258B">
      <w:rPr>
        <w:i/>
        <w:color w:val="A6A6A6"/>
        <w:sz w:val="16"/>
        <w:szCs w:val="16"/>
        <w:lang w:eastAsia="x-none"/>
      </w:rPr>
      <w:t xml:space="preserve"> </w:t>
    </w:r>
    <w:proofErr w:type="spellStart"/>
    <w:proofErr w:type="gramStart"/>
    <w:r w:rsidRPr="009F258B">
      <w:rPr>
        <w:i/>
        <w:color w:val="A6A6A6"/>
        <w:sz w:val="16"/>
        <w:szCs w:val="16"/>
        <w:lang w:eastAsia="x-none"/>
      </w:rPr>
      <w:t>трансформация</w:t>
    </w:r>
    <w:proofErr w:type="spellEnd"/>
    <w:r w:rsidRPr="009F258B">
      <w:rPr>
        <w:i/>
        <w:color w:val="A6A6A6"/>
        <w:sz w:val="16"/>
        <w:szCs w:val="16"/>
        <w:lang w:eastAsia="x-none"/>
      </w:rPr>
      <w:t>“ 2021</w:t>
    </w:r>
    <w:proofErr w:type="gramEnd"/>
    <w:r w:rsidRPr="009F258B">
      <w:rPr>
        <w:i/>
        <w:color w:val="A6A6A6"/>
        <w:sz w:val="16"/>
        <w:szCs w:val="16"/>
        <w:lang w:eastAsia="x-none"/>
      </w:rPr>
      <w:t xml:space="preserve">-2027, </w:t>
    </w:r>
    <w:proofErr w:type="spellStart"/>
    <w:r w:rsidRPr="009F258B">
      <w:rPr>
        <w:i/>
        <w:color w:val="A6A6A6"/>
        <w:sz w:val="16"/>
        <w:szCs w:val="16"/>
        <w:lang w:eastAsia="x-none"/>
      </w:rPr>
      <w:t>съфинансирана</w:t>
    </w:r>
    <w:proofErr w:type="spellEnd"/>
    <w:r w:rsidRPr="009F258B">
      <w:rPr>
        <w:i/>
        <w:color w:val="A6A6A6"/>
        <w:sz w:val="16"/>
        <w:szCs w:val="16"/>
        <w:lang w:eastAsia="x-none"/>
      </w:rPr>
      <w:t xml:space="preserve"> </w:t>
    </w:r>
    <w:proofErr w:type="spellStart"/>
    <w:r w:rsidRPr="009F258B">
      <w:rPr>
        <w:i/>
        <w:color w:val="A6A6A6"/>
        <w:sz w:val="16"/>
        <w:szCs w:val="16"/>
        <w:lang w:eastAsia="x-none"/>
      </w:rPr>
      <w:t>от</w:t>
    </w:r>
    <w:proofErr w:type="spellEnd"/>
    <w:r w:rsidRPr="009F258B">
      <w:rPr>
        <w:i/>
        <w:color w:val="A6A6A6"/>
        <w:sz w:val="16"/>
        <w:szCs w:val="16"/>
        <w:lang w:eastAsia="x-none"/>
      </w:rPr>
      <w:t xml:space="preserve"> </w:t>
    </w:r>
    <w:proofErr w:type="spellStart"/>
    <w:r w:rsidRPr="009F258B">
      <w:rPr>
        <w:i/>
        <w:color w:val="A6A6A6"/>
        <w:sz w:val="16"/>
        <w:szCs w:val="16"/>
        <w:lang w:eastAsia="x-none"/>
      </w:rPr>
      <w:t>Европейския</w:t>
    </w:r>
    <w:proofErr w:type="spellEnd"/>
    <w:r w:rsidRPr="009F258B">
      <w:rPr>
        <w:i/>
        <w:color w:val="A6A6A6"/>
        <w:sz w:val="16"/>
        <w:szCs w:val="16"/>
        <w:lang w:eastAsia="x-none"/>
      </w:rPr>
      <w:t xml:space="preserve"> </w:t>
    </w:r>
    <w:proofErr w:type="spellStart"/>
    <w:r w:rsidRPr="009F258B">
      <w:rPr>
        <w:i/>
        <w:color w:val="A6A6A6"/>
        <w:sz w:val="16"/>
        <w:szCs w:val="16"/>
        <w:lang w:eastAsia="x-none"/>
      </w:rPr>
      <w:t>съюз</w:t>
    </w:r>
    <w:proofErr w:type="spellEnd"/>
    <w:r w:rsidRPr="009F258B">
      <w:rPr>
        <w:i/>
        <w:color w:val="A6A6A6"/>
        <w:sz w:val="16"/>
        <w:szCs w:val="16"/>
        <w:lang w:eastAsia="x-none"/>
      </w:rPr>
      <w:t xml:space="preserve"> </w:t>
    </w:r>
    <w:proofErr w:type="spellStart"/>
    <w:r w:rsidRPr="009F258B">
      <w:rPr>
        <w:i/>
        <w:color w:val="A6A6A6"/>
        <w:sz w:val="16"/>
        <w:szCs w:val="16"/>
        <w:lang w:eastAsia="x-none"/>
      </w:rPr>
      <w:t>чрез</w:t>
    </w:r>
    <w:proofErr w:type="spellEnd"/>
    <w:r w:rsidRPr="009F258B">
      <w:rPr>
        <w:i/>
        <w:color w:val="A6A6A6"/>
        <w:sz w:val="16"/>
        <w:szCs w:val="16"/>
        <w:lang w:eastAsia="x-none"/>
      </w:rPr>
      <w:t xml:space="preserve"> </w:t>
    </w:r>
    <w:proofErr w:type="spellStart"/>
    <w:r w:rsidRPr="009F258B">
      <w:rPr>
        <w:i/>
        <w:color w:val="A6A6A6"/>
        <w:sz w:val="16"/>
        <w:szCs w:val="16"/>
        <w:lang w:eastAsia="x-none"/>
      </w:rPr>
      <w:t>Европейските</w:t>
    </w:r>
    <w:proofErr w:type="spellEnd"/>
    <w:r w:rsidRPr="009F258B">
      <w:rPr>
        <w:i/>
        <w:color w:val="A6A6A6"/>
        <w:sz w:val="16"/>
        <w:szCs w:val="16"/>
        <w:lang w:eastAsia="x-none"/>
      </w:rPr>
      <w:t xml:space="preserve"> </w:t>
    </w:r>
    <w:proofErr w:type="spellStart"/>
    <w:r w:rsidRPr="009F258B">
      <w:rPr>
        <w:i/>
        <w:color w:val="A6A6A6"/>
        <w:sz w:val="16"/>
        <w:szCs w:val="16"/>
        <w:lang w:eastAsia="x-none"/>
      </w:rPr>
      <w:t>структурни</w:t>
    </w:r>
    <w:proofErr w:type="spellEnd"/>
    <w:r w:rsidRPr="009F258B">
      <w:rPr>
        <w:i/>
        <w:color w:val="A6A6A6"/>
        <w:sz w:val="16"/>
        <w:szCs w:val="16"/>
        <w:lang w:eastAsia="x-none"/>
      </w:rPr>
      <w:t xml:space="preserve"> и </w:t>
    </w:r>
    <w:proofErr w:type="spellStart"/>
    <w:r w:rsidRPr="009F258B">
      <w:rPr>
        <w:i/>
        <w:color w:val="A6A6A6"/>
        <w:sz w:val="16"/>
        <w:szCs w:val="16"/>
        <w:lang w:eastAsia="x-none"/>
      </w:rPr>
      <w:t>инвестиционни</w:t>
    </w:r>
    <w:proofErr w:type="spellEnd"/>
    <w:r w:rsidRPr="009F258B">
      <w:rPr>
        <w:i/>
        <w:color w:val="A6A6A6"/>
        <w:sz w:val="16"/>
        <w:szCs w:val="16"/>
        <w:lang w:eastAsia="x-none"/>
      </w:rPr>
      <w:t xml:space="preserve"> </w:t>
    </w:r>
    <w:proofErr w:type="spellStart"/>
    <w:r w:rsidRPr="009F258B">
      <w:rPr>
        <w:i/>
        <w:color w:val="A6A6A6"/>
        <w:sz w:val="16"/>
        <w:szCs w:val="16"/>
        <w:lang w:eastAsia="x-none"/>
      </w:rPr>
      <w:t>фондове</w:t>
    </w:r>
    <w:proofErr w:type="spellEnd"/>
    <w:r w:rsidRPr="009F258B">
      <w:rPr>
        <w:i/>
        <w:color w:val="A6A6A6"/>
        <w:sz w:val="16"/>
        <w:szCs w:val="16"/>
        <w:lang w:eastAsia="x-none"/>
      </w:rPr>
      <w:t>.</w:t>
    </w:r>
  </w:p>
  <w:sdt>
    <w:sdtPr>
      <w:id w:val="-1460791926"/>
      <w:docPartObj>
        <w:docPartGallery w:val="Page Numbers (Bottom of Page)"/>
        <w:docPartUnique/>
      </w:docPartObj>
    </w:sdtPr>
    <w:sdtEndPr>
      <w:rPr>
        <w:noProof/>
      </w:rPr>
    </w:sdtEndPr>
    <w:sdtContent>
      <w:p w:rsidR="00A719CA" w:rsidRDefault="00A719CA">
        <w:pPr>
          <w:pStyle w:val="Footer"/>
          <w:jc w:val="right"/>
        </w:pPr>
        <w:r>
          <w:fldChar w:fldCharType="begin"/>
        </w:r>
        <w:r>
          <w:instrText xml:space="preserve"> PAGE   \* MERGEFORMAT </w:instrText>
        </w:r>
        <w:r>
          <w:fldChar w:fldCharType="separate"/>
        </w:r>
        <w:r w:rsidR="004C2620">
          <w:rPr>
            <w:noProof/>
          </w:rPr>
          <w:t>3</w:t>
        </w:r>
        <w:r>
          <w:rPr>
            <w:noProof/>
          </w:rPr>
          <w:fldChar w:fldCharType="end"/>
        </w:r>
      </w:p>
    </w:sdtContent>
  </w:sdt>
  <w:p w:rsidR="00A719CA" w:rsidRDefault="00A71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6D" w:rsidRDefault="00B2486D" w:rsidP="00A719CA">
      <w:pPr>
        <w:spacing w:after="0" w:line="240" w:lineRule="auto"/>
      </w:pPr>
      <w:r>
        <w:separator/>
      </w:r>
    </w:p>
  </w:footnote>
  <w:footnote w:type="continuationSeparator" w:id="0">
    <w:p w:rsidR="00B2486D" w:rsidRDefault="00B2486D" w:rsidP="00A7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2" w:type="dxa"/>
      <w:tblInd w:w="-398" w:type="dxa"/>
      <w:tblBorders>
        <w:bottom w:val="single" w:sz="4" w:space="0" w:color="auto"/>
      </w:tblBorders>
      <w:tblLayout w:type="fixed"/>
      <w:tblCellMar>
        <w:left w:w="28" w:type="dxa"/>
        <w:right w:w="28" w:type="dxa"/>
      </w:tblCellMar>
      <w:tblLook w:val="04A0" w:firstRow="1" w:lastRow="0" w:firstColumn="1" w:lastColumn="0" w:noHBand="0" w:noVBand="1"/>
    </w:tblPr>
    <w:tblGrid>
      <w:gridCol w:w="76"/>
      <w:gridCol w:w="76"/>
      <w:gridCol w:w="10650"/>
    </w:tblGrid>
    <w:tr w:rsidR="00A719CA" w:rsidRPr="009F258B" w:rsidTr="00F01B9B">
      <w:trPr>
        <w:trHeight w:val="993"/>
      </w:trPr>
      <w:tc>
        <w:tcPr>
          <w:tcW w:w="62" w:type="dxa"/>
        </w:tcPr>
        <w:p w:rsidR="00A719CA" w:rsidRPr="009F258B" w:rsidRDefault="00A719CA" w:rsidP="00A719CA">
          <w:pPr>
            <w:tabs>
              <w:tab w:val="center" w:pos="4536"/>
              <w:tab w:val="right" w:pos="9072"/>
            </w:tabs>
            <w:spacing w:line="240" w:lineRule="auto"/>
            <w:ind w:left="-142"/>
          </w:pPr>
        </w:p>
      </w:tc>
      <w:tc>
        <w:tcPr>
          <w:tcW w:w="76" w:type="dxa"/>
        </w:tcPr>
        <w:p w:rsidR="00A719CA" w:rsidRPr="009F258B" w:rsidRDefault="00A719CA" w:rsidP="00A719CA">
          <w:pPr>
            <w:autoSpaceDE w:val="0"/>
            <w:autoSpaceDN w:val="0"/>
            <w:adjustRightInd w:val="0"/>
            <w:spacing w:line="240" w:lineRule="auto"/>
            <w:rPr>
              <w:b/>
              <w:color w:val="000000"/>
            </w:rPr>
          </w:pPr>
        </w:p>
        <w:p w:rsidR="00A719CA" w:rsidRPr="009F258B" w:rsidRDefault="00A719CA" w:rsidP="00A719CA">
          <w:pPr>
            <w:tabs>
              <w:tab w:val="center" w:pos="4536"/>
              <w:tab w:val="right" w:pos="9072"/>
            </w:tabs>
            <w:spacing w:line="240" w:lineRule="auto"/>
            <w:jc w:val="center"/>
          </w:pPr>
        </w:p>
      </w:tc>
      <w:tc>
        <w:tcPr>
          <w:tcW w:w="10664" w:type="dxa"/>
        </w:tcPr>
        <w:tbl>
          <w:tblPr>
            <w:tblW w:w="10594" w:type="dxa"/>
            <w:tblLayout w:type="fixed"/>
            <w:tblCellMar>
              <w:left w:w="28" w:type="dxa"/>
              <w:right w:w="28" w:type="dxa"/>
            </w:tblCellMar>
            <w:tblLook w:val="04A0" w:firstRow="1" w:lastRow="0" w:firstColumn="1" w:lastColumn="0" w:noHBand="0" w:noVBand="1"/>
          </w:tblPr>
          <w:tblGrid>
            <w:gridCol w:w="3526"/>
            <w:gridCol w:w="3526"/>
            <w:gridCol w:w="3542"/>
          </w:tblGrid>
          <w:tr w:rsidR="00A719CA" w:rsidRPr="009F258B" w:rsidTr="00F01B9B">
            <w:tc>
              <w:tcPr>
                <w:tcW w:w="3526" w:type="dxa"/>
              </w:tcPr>
              <w:p w:rsidR="00A719CA" w:rsidRPr="009F258B" w:rsidRDefault="00A719CA" w:rsidP="00A719CA">
                <w:pPr>
                  <w:tabs>
                    <w:tab w:val="center" w:pos="4536"/>
                    <w:tab w:val="right" w:pos="9072"/>
                  </w:tabs>
                  <w:spacing w:line="240" w:lineRule="auto"/>
                  <w:ind w:left="-23"/>
                </w:pPr>
                <w:r w:rsidRPr="009F258B">
                  <w:rPr>
                    <w:noProof/>
                  </w:rPr>
                  <w:drawing>
                    <wp:inline distT="0" distB="0" distL="0" distR="0" wp14:anchorId="0EF86165" wp14:editId="69BD1D94">
                      <wp:extent cx="2200275" cy="619125"/>
                      <wp:effectExtent l="0" t="0" r="9525" b="9525"/>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19125"/>
                              </a:xfrm>
                              <a:prstGeom prst="rect">
                                <a:avLst/>
                              </a:prstGeom>
                              <a:noFill/>
                              <a:ln>
                                <a:noFill/>
                              </a:ln>
                            </pic:spPr>
                          </pic:pic>
                        </a:graphicData>
                      </a:graphic>
                    </wp:inline>
                  </w:drawing>
                </w:r>
              </w:p>
            </w:tc>
            <w:tc>
              <w:tcPr>
                <w:tcW w:w="3526" w:type="dxa"/>
              </w:tcPr>
              <w:p w:rsidR="00A719CA" w:rsidRPr="009F258B" w:rsidRDefault="00A719CA" w:rsidP="00A719CA">
                <w:pPr>
                  <w:tabs>
                    <w:tab w:val="center" w:pos="4536"/>
                    <w:tab w:val="right" w:pos="9072"/>
                  </w:tabs>
                  <w:spacing w:line="240" w:lineRule="auto"/>
                </w:pPr>
                <w:r w:rsidRPr="009F258B">
                  <w:rPr>
                    <w:noProof/>
                  </w:rPr>
                  <w:drawing>
                    <wp:inline distT="0" distB="0" distL="0" distR="0" wp14:anchorId="1724B852" wp14:editId="76BFD76F">
                      <wp:extent cx="2124075" cy="549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549910"/>
                              </a:xfrm>
                              <a:prstGeom prst="rect">
                                <a:avLst/>
                              </a:prstGeom>
                              <a:noFill/>
                            </pic:spPr>
                          </pic:pic>
                        </a:graphicData>
                      </a:graphic>
                    </wp:inline>
                  </w:drawing>
                </w:r>
              </w:p>
            </w:tc>
            <w:tc>
              <w:tcPr>
                <w:tcW w:w="3542" w:type="dxa"/>
              </w:tcPr>
              <w:p w:rsidR="00A719CA" w:rsidRPr="009F258B" w:rsidRDefault="00A719CA" w:rsidP="00A719CA">
                <w:pPr>
                  <w:tabs>
                    <w:tab w:val="center" w:pos="4536"/>
                    <w:tab w:val="right" w:pos="9072"/>
                  </w:tabs>
                  <w:spacing w:line="240" w:lineRule="auto"/>
                  <w:ind w:right="114" w:hanging="171"/>
                  <w:jc w:val="right"/>
                </w:pPr>
                <w:r w:rsidRPr="009F258B">
                  <w:rPr>
                    <w:noProof/>
                  </w:rPr>
                  <w:drawing>
                    <wp:inline distT="0" distB="0" distL="0" distR="0" wp14:anchorId="38B8BFA0" wp14:editId="229C322C">
                      <wp:extent cx="2286000" cy="600075"/>
                      <wp:effectExtent l="0" t="0" r="0" b="9525"/>
                      <wp:docPr id="4" name="Picture 4" descr="F:\01_Center-of-Competence\2023_BLUE-CRISTAL\02_Изпълнение\02_Kick-of-meeting\work\Logo-pro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01_Center-of-Competence\2023_BLUE-CRISTAL\02_Изпълнение\02_Kick-of-meeting\work\Logo-program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inline>
                  </w:drawing>
                </w:r>
              </w:p>
            </w:tc>
          </w:tr>
        </w:tbl>
        <w:p w:rsidR="00A719CA" w:rsidRPr="009F258B" w:rsidRDefault="00A719CA" w:rsidP="00A719CA">
          <w:pPr>
            <w:tabs>
              <w:tab w:val="center" w:pos="4536"/>
              <w:tab w:val="right" w:pos="9072"/>
            </w:tabs>
            <w:spacing w:line="240" w:lineRule="auto"/>
          </w:pPr>
        </w:p>
      </w:tc>
    </w:tr>
  </w:tbl>
  <w:p w:rsidR="00A719CA" w:rsidRDefault="00A719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AE6"/>
    <w:multiLevelType w:val="hybridMultilevel"/>
    <w:tmpl w:val="E59A031C"/>
    <w:lvl w:ilvl="0" w:tplc="AA16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07351"/>
    <w:multiLevelType w:val="hybridMultilevel"/>
    <w:tmpl w:val="9C7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D626B"/>
    <w:multiLevelType w:val="multilevel"/>
    <w:tmpl w:val="DE2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64FA2"/>
    <w:multiLevelType w:val="multilevel"/>
    <w:tmpl w:val="7A5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D5890"/>
    <w:multiLevelType w:val="multilevel"/>
    <w:tmpl w:val="81AC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F018D"/>
    <w:multiLevelType w:val="hybridMultilevel"/>
    <w:tmpl w:val="11763FBE"/>
    <w:lvl w:ilvl="0" w:tplc="AA16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148C9"/>
    <w:multiLevelType w:val="hybridMultilevel"/>
    <w:tmpl w:val="09EE28B6"/>
    <w:lvl w:ilvl="0" w:tplc="AA16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69FC"/>
    <w:multiLevelType w:val="multilevel"/>
    <w:tmpl w:val="81AC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C0C89"/>
    <w:multiLevelType w:val="multilevel"/>
    <w:tmpl w:val="BDDC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A0DB7"/>
    <w:multiLevelType w:val="multilevel"/>
    <w:tmpl w:val="9B02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70ED2"/>
    <w:multiLevelType w:val="multilevel"/>
    <w:tmpl w:val="72C8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F6F06"/>
    <w:multiLevelType w:val="multilevel"/>
    <w:tmpl w:val="33E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E4903"/>
    <w:multiLevelType w:val="multilevel"/>
    <w:tmpl w:val="9876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11"/>
  </w:num>
  <w:num w:numId="5">
    <w:abstractNumId w:val="2"/>
  </w:num>
  <w:num w:numId="6">
    <w:abstractNumId w:val="12"/>
  </w:num>
  <w:num w:numId="7">
    <w:abstractNumId w:val="7"/>
  </w:num>
  <w:num w:numId="8">
    <w:abstractNumId w:val="4"/>
  </w:num>
  <w:num w:numId="9">
    <w:abstractNumId w:val="3"/>
  </w:num>
  <w:num w:numId="10">
    <w:abstractNumId w:val="1"/>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56"/>
    <w:rsid w:val="0004117D"/>
    <w:rsid w:val="000B2A95"/>
    <w:rsid w:val="000B3A58"/>
    <w:rsid w:val="00125788"/>
    <w:rsid w:val="0014595C"/>
    <w:rsid w:val="00160E44"/>
    <w:rsid w:val="001C0856"/>
    <w:rsid w:val="001E0603"/>
    <w:rsid w:val="001F06FD"/>
    <w:rsid w:val="00244297"/>
    <w:rsid w:val="002660FC"/>
    <w:rsid w:val="002B6F3C"/>
    <w:rsid w:val="002C6951"/>
    <w:rsid w:val="00352C4B"/>
    <w:rsid w:val="004B0954"/>
    <w:rsid w:val="004C2620"/>
    <w:rsid w:val="00512040"/>
    <w:rsid w:val="00580245"/>
    <w:rsid w:val="005B2540"/>
    <w:rsid w:val="005B2C56"/>
    <w:rsid w:val="00623D1B"/>
    <w:rsid w:val="0069358C"/>
    <w:rsid w:val="006F5AEB"/>
    <w:rsid w:val="007014E7"/>
    <w:rsid w:val="00755CAF"/>
    <w:rsid w:val="007A0EFF"/>
    <w:rsid w:val="00852D24"/>
    <w:rsid w:val="00870C68"/>
    <w:rsid w:val="0088512A"/>
    <w:rsid w:val="008903C4"/>
    <w:rsid w:val="008A2E38"/>
    <w:rsid w:val="009147AB"/>
    <w:rsid w:val="009A1B77"/>
    <w:rsid w:val="009A4A79"/>
    <w:rsid w:val="00A21213"/>
    <w:rsid w:val="00A719CA"/>
    <w:rsid w:val="00A95FD4"/>
    <w:rsid w:val="00A96B9D"/>
    <w:rsid w:val="00B2486D"/>
    <w:rsid w:val="00B30009"/>
    <w:rsid w:val="00B761E2"/>
    <w:rsid w:val="00B86D74"/>
    <w:rsid w:val="00BB4EF9"/>
    <w:rsid w:val="00CD70BA"/>
    <w:rsid w:val="00CE17C8"/>
    <w:rsid w:val="00D01A0E"/>
    <w:rsid w:val="00D35432"/>
    <w:rsid w:val="00D377E2"/>
    <w:rsid w:val="00D83657"/>
    <w:rsid w:val="00DA48B0"/>
    <w:rsid w:val="00DC05EC"/>
    <w:rsid w:val="00DF07CB"/>
    <w:rsid w:val="00EB4044"/>
    <w:rsid w:val="00EF21FD"/>
    <w:rsid w:val="00F1488C"/>
    <w:rsid w:val="00F925AE"/>
    <w:rsid w:val="00F93A57"/>
    <w:rsid w:val="00F9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A2F63"/>
  <w15:chartTrackingRefBased/>
  <w15:docId w15:val="{64A4738A-AF93-4A91-B78D-BC3F92A4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2C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2C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2C5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2C5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2C5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2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C5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2C5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2C5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2C5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2C5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2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C56"/>
    <w:rPr>
      <w:rFonts w:eastAsiaTheme="majorEastAsia" w:cstheme="majorBidi"/>
      <w:color w:val="272727" w:themeColor="text1" w:themeTint="D8"/>
    </w:rPr>
  </w:style>
  <w:style w:type="paragraph" w:styleId="Title">
    <w:name w:val="Title"/>
    <w:basedOn w:val="Normal"/>
    <w:next w:val="Normal"/>
    <w:link w:val="TitleChar"/>
    <w:uiPriority w:val="10"/>
    <w:qFormat/>
    <w:rsid w:val="005B2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C56"/>
    <w:pPr>
      <w:spacing w:before="160"/>
      <w:jc w:val="center"/>
    </w:pPr>
    <w:rPr>
      <w:i/>
      <w:iCs/>
      <w:color w:val="404040" w:themeColor="text1" w:themeTint="BF"/>
    </w:rPr>
  </w:style>
  <w:style w:type="character" w:customStyle="1" w:styleId="QuoteChar">
    <w:name w:val="Quote Char"/>
    <w:basedOn w:val="DefaultParagraphFont"/>
    <w:link w:val="Quote"/>
    <w:uiPriority w:val="29"/>
    <w:rsid w:val="005B2C56"/>
    <w:rPr>
      <w:i/>
      <w:iCs/>
      <w:color w:val="404040" w:themeColor="text1" w:themeTint="BF"/>
    </w:rPr>
  </w:style>
  <w:style w:type="paragraph" w:styleId="ListParagraph">
    <w:name w:val="List Paragraph"/>
    <w:basedOn w:val="Normal"/>
    <w:uiPriority w:val="34"/>
    <w:qFormat/>
    <w:rsid w:val="005B2C56"/>
    <w:pPr>
      <w:ind w:left="720"/>
      <w:contextualSpacing/>
    </w:pPr>
  </w:style>
  <w:style w:type="character" w:styleId="IntenseEmphasis">
    <w:name w:val="Intense Emphasis"/>
    <w:basedOn w:val="DefaultParagraphFont"/>
    <w:uiPriority w:val="21"/>
    <w:qFormat/>
    <w:rsid w:val="005B2C56"/>
    <w:rPr>
      <w:i/>
      <w:iCs/>
      <w:color w:val="2E74B5" w:themeColor="accent1" w:themeShade="BF"/>
    </w:rPr>
  </w:style>
  <w:style w:type="paragraph" w:styleId="IntenseQuote">
    <w:name w:val="Intense Quote"/>
    <w:basedOn w:val="Normal"/>
    <w:next w:val="Normal"/>
    <w:link w:val="IntenseQuoteChar"/>
    <w:uiPriority w:val="30"/>
    <w:qFormat/>
    <w:rsid w:val="005B2C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2C56"/>
    <w:rPr>
      <w:i/>
      <w:iCs/>
      <w:color w:val="2E74B5" w:themeColor="accent1" w:themeShade="BF"/>
    </w:rPr>
  </w:style>
  <w:style w:type="character" w:styleId="IntenseReference">
    <w:name w:val="Intense Reference"/>
    <w:basedOn w:val="DefaultParagraphFont"/>
    <w:uiPriority w:val="32"/>
    <w:qFormat/>
    <w:rsid w:val="005B2C56"/>
    <w:rPr>
      <w:b/>
      <w:bCs/>
      <w:smallCaps/>
      <w:color w:val="2E74B5" w:themeColor="accent1" w:themeShade="BF"/>
      <w:spacing w:val="5"/>
    </w:rPr>
  </w:style>
  <w:style w:type="paragraph" w:styleId="NormalWeb">
    <w:name w:val="Normal (Web)"/>
    <w:basedOn w:val="Normal"/>
    <w:uiPriority w:val="99"/>
    <w:unhideWhenUsed/>
    <w:rsid w:val="005B2C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2C56"/>
    <w:rPr>
      <w:b/>
      <w:bCs/>
    </w:rPr>
  </w:style>
  <w:style w:type="table" w:styleId="TableGrid">
    <w:name w:val="Table Grid"/>
    <w:basedOn w:val="TableNormal"/>
    <w:uiPriority w:val="39"/>
    <w:rsid w:val="0062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C68"/>
    <w:rPr>
      <w:color w:val="0563C1" w:themeColor="hyperlink"/>
      <w:u w:val="single"/>
    </w:rPr>
  </w:style>
  <w:style w:type="paragraph" w:styleId="Header">
    <w:name w:val="header"/>
    <w:basedOn w:val="Normal"/>
    <w:link w:val="HeaderChar"/>
    <w:uiPriority w:val="99"/>
    <w:unhideWhenUsed/>
    <w:rsid w:val="00A719CA"/>
    <w:pPr>
      <w:tabs>
        <w:tab w:val="center" w:pos="4703"/>
        <w:tab w:val="right" w:pos="9406"/>
      </w:tabs>
      <w:spacing w:after="0" w:line="240" w:lineRule="auto"/>
    </w:pPr>
  </w:style>
  <w:style w:type="character" w:customStyle="1" w:styleId="HeaderChar">
    <w:name w:val="Header Char"/>
    <w:basedOn w:val="DefaultParagraphFont"/>
    <w:link w:val="Header"/>
    <w:uiPriority w:val="99"/>
    <w:rsid w:val="00A719CA"/>
  </w:style>
  <w:style w:type="paragraph" w:styleId="Footer">
    <w:name w:val="footer"/>
    <w:basedOn w:val="Normal"/>
    <w:link w:val="FooterChar"/>
    <w:uiPriority w:val="99"/>
    <w:unhideWhenUsed/>
    <w:rsid w:val="00A719CA"/>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bshc.b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bshc.b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ufunds.bg/" TargetMode="External"/><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 Id="rId6" Type="http://schemas.openxmlformats.org/officeDocument/2006/relationships/hyperlink" Target="http://www.eufunds.bg/" TargetMode="External"/><Relationship Id="rId5" Type="http://schemas.openxmlformats.org/officeDocument/2006/relationships/hyperlink" Target="http://www.eufunds.bg/" TargetMode="External"/><Relationship Id="rId4"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634f33-45b0-44f8-a3d9-eb92040027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519E47CCB43B49B31CC0665B13B5F6" ma:contentTypeVersion="6" ma:contentTypeDescription="Създаване на нов документ" ma:contentTypeScope="" ma:versionID="a0ca42c19b4939b4150c12d95302387a">
  <xsd:schema xmlns:xsd="http://www.w3.org/2001/XMLSchema" xmlns:xs="http://www.w3.org/2001/XMLSchema" xmlns:p="http://schemas.microsoft.com/office/2006/metadata/properties" xmlns:ns3="6a634f33-45b0-44f8-a3d9-eb92040027c5" targetNamespace="http://schemas.microsoft.com/office/2006/metadata/properties" ma:root="true" ma:fieldsID="c5d392e987e1898858736754bee8c6ce" ns3:_="">
    <xsd:import namespace="6a634f33-45b0-44f8-a3d9-eb92040027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34f33-45b0-44f8-a3d9-eb92040027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9ED9-53F6-4A68-8C76-5F3FFB2BC360}">
  <ds:schemaRefs>
    <ds:schemaRef ds:uri="http://schemas.microsoft.com/sharepoint/v3/contenttype/forms"/>
  </ds:schemaRefs>
</ds:datastoreItem>
</file>

<file path=customXml/itemProps2.xml><?xml version="1.0" encoding="utf-8"?>
<ds:datastoreItem xmlns:ds="http://schemas.openxmlformats.org/officeDocument/2006/customXml" ds:itemID="{C4756E63-5CF4-4C5A-A7E4-577D1D6F403A}">
  <ds:schemaRefs>
    <ds:schemaRef ds:uri="http://schemas.microsoft.com/office/2006/metadata/properties"/>
    <ds:schemaRef ds:uri="http://schemas.microsoft.com/office/infopath/2007/PartnerControls"/>
    <ds:schemaRef ds:uri="6a634f33-45b0-44f8-a3d9-eb92040027c5"/>
  </ds:schemaRefs>
</ds:datastoreItem>
</file>

<file path=customXml/itemProps3.xml><?xml version="1.0" encoding="utf-8"?>
<ds:datastoreItem xmlns:ds="http://schemas.openxmlformats.org/officeDocument/2006/customXml" ds:itemID="{8057DCA8-3ABE-4F5D-9531-5191A6DA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34f33-45b0-44f8-a3d9-eb9204002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Markov</dc:creator>
  <cp:keywords/>
  <dc:description/>
  <cp:lastModifiedBy>Eмилия Николова</cp:lastModifiedBy>
  <cp:revision>3</cp:revision>
  <dcterms:created xsi:type="dcterms:W3CDTF">2025-12-03T11:30:00Z</dcterms:created>
  <dcterms:modified xsi:type="dcterms:W3CDTF">2025-12-03T11:31:00Z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0x0101006E519E47CCB43B49B31CC0665B13B5F6</vt:lpwstr>
  </property>
</Properties>
</file>